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7C" w:rsidRDefault="004F5402">
      <w:pPr>
        <w:pStyle w:val="LO-normal"/>
        <w:jc w:val="center"/>
        <w:rPr>
          <w:b/>
          <w:bCs/>
        </w:rPr>
      </w:pPr>
      <w:r>
        <w:rPr>
          <w:noProof/>
          <w:lang w:eastAsia="it-IT" w:bidi="ar-SA"/>
        </w:rPr>
        <w:drawing>
          <wp:inline distT="0" distB="0" distL="0" distR="0">
            <wp:extent cx="6120130" cy="859667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9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402" w:rsidRDefault="004F5402">
      <w:pPr>
        <w:pStyle w:val="LO-normal"/>
        <w:jc w:val="right"/>
        <w:rPr>
          <w:rFonts w:ascii="Titillium Web" w:hAnsi="Titillium Web" w:hint="eastAsia"/>
          <w:b/>
          <w:bCs/>
          <w:sz w:val="22"/>
          <w:szCs w:val="22"/>
        </w:rPr>
      </w:pPr>
    </w:p>
    <w:p w:rsidR="003E007C" w:rsidRDefault="004F5402">
      <w:pPr>
        <w:pStyle w:val="LO-normal"/>
        <w:jc w:val="right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b/>
          <w:bCs/>
          <w:sz w:val="22"/>
          <w:szCs w:val="22"/>
        </w:rPr>
        <w:t xml:space="preserve">Modello H) </w:t>
      </w:r>
      <w:r>
        <w:rPr>
          <w:rFonts w:ascii="Titillium Web" w:hAnsi="Titillium Web"/>
          <w:b/>
          <w:bCs/>
          <w:color w:val="000000"/>
          <w:sz w:val="22"/>
          <w:szCs w:val="22"/>
        </w:rPr>
        <w:t>dichiarazione ulteriori principi e condizioni nell’ambito degli interventi a valere sul PNRR</w:t>
      </w:r>
    </w:p>
    <w:p w:rsidR="003E007C" w:rsidRDefault="003E007C">
      <w:pPr>
        <w:pStyle w:val="western"/>
        <w:spacing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3E007C" w:rsidRDefault="003E007C">
      <w:pPr>
        <w:pStyle w:val="western"/>
        <w:spacing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3E007C" w:rsidRDefault="004F5402">
      <w:pPr>
        <w:pStyle w:val="western"/>
        <w:spacing w:beforeAutospacing="0" w:after="0" w:line="240" w:lineRule="auto"/>
        <w:jc w:val="right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>All’UNIONE DEI COMUNI</w:t>
      </w:r>
    </w:p>
    <w:p w:rsidR="003E007C" w:rsidRDefault="004F5402">
      <w:pPr>
        <w:pStyle w:val="NormaleWeb"/>
        <w:spacing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>VALLI DEL RENO LAVINO E SAMOGGIA</w:t>
      </w:r>
    </w:p>
    <w:p w:rsidR="003E007C" w:rsidRDefault="004F5402">
      <w:pPr>
        <w:pStyle w:val="NormaleWeb"/>
        <w:spacing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>Servizio Associato Gare</w:t>
      </w:r>
    </w:p>
    <w:p w:rsidR="003E007C" w:rsidRDefault="004F5402">
      <w:pPr>
        <w:pStyle w:val="NormaleWeb"/>
        <w:spacing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 xml:space="preserve">Sede Servizio: </w:t>
      </w:r>
      <w:proofErr w:type="spellStart"/>
      <w:r>
        <w:rPr>
          <w:rFonts w:ascii="Titillium Web" w:hAnsi="Titillium Web"/>
          <w:sz w:val="22"/>
          <w:szCs w:val="22"/>
        </w:rPr>
        <w:t>P.zza</w:t>
      </w:r>
      <w:proofErr w:type="spellEnd"/>
      <w:r>
        <w:rPr>
          <w:rFonts w:ascii="Titillium Web" w:hAnsi="Titillium Web"/>
          <w:sz w:val="22"/>
          <w:szCs w:val="22"/>
        </w:rPr>
        <w:t xml:space="preserve"> dei Martiri 6</w:t>
      </w:r>
    </w:p>
    <w:p w:rsidR="003E007C" w:rsidRDefault="004F5402">
      <w:pPr>
        <w:pStyle w:val="NormaleWeb"/>
        <w:spacing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>40037 – Sasso Marconi (BO)</w:t>
      </w:r>
    </w:p>
    <w:p w:rsidR="003E007C" w:rsidRDefault="003E007C">
      <w:pPr>
        <w:pStyle w:val="western"/>
        <w:spacing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3E007C" w:rsidRDefault="003E007C">
      <w:pPr>
        <w:pStyle w:val="western"/>
        <w:spacing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BD326B" w:rsidRPr="00BD326B" w:rsidRDefault="00BD326B" w:rsidP="00BD326B">
      <w:pPr>
        <w:spacing w:before="100" w:beforeAutospacing="1" w:line="276" w:lineRule="auto"/>
        <w:textAlignment w:val="auto"/>
        <w:outlineLvl w:val="9"/>
        <w:rPr>
          <w:rFonts w:eastAsia="Times New Roman" w:cs="Times New Roman"/>
          <w:color w:val="000000"/>
          <w:lang w:eastAsia="it-IT"/>
        </w:rPr>
      </w:pPr>
      <w:bookmarkStart w:id="0" w:name="_GoBack"/>
      <w:bookmarkEnd w:id="0"/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 xml:space="preserve">OGGETTO: PROCEDURA TELEMATICA APERTA PER CONTO DEL COMUNE </w:t>
      </w:r>
      <w:proofErr w:type="spellStart"/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>DI</w:t>
      </w:r>
      <w:proofErr w:type="spellEnd"/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 xml:space="preserve"> ZOLA PR</w:t>
      </w:r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>E</w:t>
      </w:r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 xml:space="preserve">DOSA PER L’AFFIDAMENTO DEI LAVORI </w:t>
      </w:r>
      <w:proofErr w:type="spellStart"/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>DI</w:t>
      </w:r>
      <w:proofErr w:type="spellEnd"/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 xml:space="preserve"> NUOVA REALIZZAZIONE </w:t>
      </w:r>
      <w:proofErr w:type="spellStart"/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>DI</w:t>
      </w:r>
      <w:proofErr w:type="spellEnd"/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 xml:space="preserve"> UN PONTE SUL TORRENTE LAVINO - FINANZIATO IN PARTE CON FONDI PNRR – MISSIONE 5 COMPONE</w:t>
      </w:r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>N</w:t>
      </w:r>
      <w:r w:rsidRPr="00BD326B">
        <w:rPr>
          <w:rFonts w:ascii="Titillium Web" w:eastAsia="Times New Roman" w:hAnsi="Titillium Web" w:cs="Times New Roman"/>
          <w:b/>
          <w:bCs/>
          <w:color w:val="000000"/>
          <w:spacing w:val="-4"/>
          <w:sz w:val="22"/>
          <w:szCs w:val="22"/>
          <w:lang w:eastAsia="it-IT"/>
        </w:rPr>
        <w:t>TE 2 – SUB INVESTIMENTO 2.1. “RIGENERAZIONE URBANA” NEXT GENERATION EU - CUP C31B21003830001 - CUI L01041340371202100012 - CIG A0388514CA.</w:t>
      </w:r>
    </w:p>
    <w:p w:rsidR="003E007C" w:rsidRDefault="003E007C">
      <w:pPr>
        <w:pStyle w:val="LO-normal"/>
        <w:spacing w:line="360" w:lineRule="auto"/>
        <w:ind w:firstLine="708"/>
        <w:jc w:val="center"/>
        <w:rPr>
          <w:rFonts w:ascii="Titillium Web" w:hAnsi="Titillium Web" w:hint="eastAsia"/>
          <w:sz w:val="22"/>
          <w:szCs w:val="22"/>
        </w:rPr>
      </w:pPr>
    </w:p>
    <w:p w:rsidR="003E007C" w:rsidRDefault="004F5402">
      <w:pPr>
        <w:pStyle w:val="LO-normal"/>
        <w:spacing w:after="120"/>
        <w:ind w:firstLine="709"/>
        <w:jc w:val="center"/>
        <w:rPr>
          <w:rFonts w:ascii="Titillium Web" w:hAnsi="Titillium Web" w:hint="eastAsia"/>
          <w:b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 xml:space="preserve">AUTODICHIARAZIONE DEI PARTECIPANTI ALLA PROCEDURA </w:t>
      </w:r>
      <w:proofErr w:type="spellStart"/>
      <w:r>
        <w:rPr>
          <w:rFonts w:ascii="Titillium Web" w:hAnsi="Titillium Web"/>
          <w:b/>
          <w:sz w:val="22"/>
          <w:szCs w:val="22"/>
        </w:rPr>
        <w:t>DI</w:t>
      </w:r>
      <w:proofErr w:type="spellEnd"/>
      <w:r>
        <w:rPr>
          <w:rFonts w:ascii="Titillium Web" w:hAnsi="Titillium Web"/>
          <w:b/>
          <w:sz w:val="22"/>
          <w:szCs w:val="22"/>
        </w:rPr>
        <w:t xml:space="preserve"> GARA</w:t>
      </w:r>
    </w:p>
    <w:p w:rsidR="003E007C" w:rsidRDefault="004F5402">
      <w:pPr>
        <w:pStyle w:val="LO-normal"/>
        <w:spacing w:after="120"/>
        <w:ind w:firstLine="709"/>
        <w:jc w:val="center"/>
        <w:rPr>
          <w:rFonts w:ascii="Titillium Web" w:hAnsi="Titillium Web" w:hint="eastAsia"/>
          <w:b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 xml:space="preserve">ULTERIORI PRINCIPI E CONDIZIONI </w:t>
      </w:r>
    </w:p>
    <w:p w:rsidR="003E007C" w:rsidRDefault="004F5402">
      <w:pPr>
        <w:pStyle w:val="LO-normal"/>
        <w:spacing w:after="120"/>
        <w:ind w:firstLine="709"/>
        <w:jc w:val="center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>NELL’AMBITO DEGLI INTERVENTI A VALERE SUL PNRR</w:t>
      </w:r>
    </w:p>
    <w:p w:rsidR="003E007C" w:rsidRDefault="003E007C">
      <w:pPr>
        <w:pStyle w:val="LO-normal"/>
        <w:jc w:val="both"/>
        <w:rPr>
          <w:rFonts w:ascii="Titillium Web" w:eastAsia="Arial" w:hAnsi="Titillium Web"/>
          <w:b/>
          <w:sz w:val="22"/>
          <w:szCs w:val="22"/>
        </w:rPr>
      </w:pPr>
    </w:p>
    <w:p w:rsidR="003E007C" w:rsidRDefault="004F5402">
      <w:pPr>
        <w:pStyle w:val="LO-normal"/>
        <w:spacing w:before="57" w:after="57" w:line="276" w:lineRule="auto"/>
        <w:jc w:val="both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 xml:space="preserve">Il sottoscritto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……………………………………………………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………………….……</w:t>
      </w:r>
      <w:proofErr w:type="spellEnd"/>
      <w:r>
        <w:rPr>
          <w:rFonts w:ascii="Titillium Web" w:hAnsi="Titillium Web"/>
          <w:sz w:val="22"/>
          <w:szCs w:val="22"/>
        </w:rPr>
        <w:t xml:space="preserve"> nato a </w:t>
      </w:r>
      <w:proofErr w:type="spellStart"/>
      <w:r>
        <w:rPr>
          <w:rFonts w:ascii="Titillium Web" w:hAnsi="Titillium Web"/>
          <w:sz w:val="22"/>
          <w:szCs w:val="22"/>
        </w:rPr>
        <w:t>…………………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 (</w:t>
      </w:r>
      <w:proofErr w:type="spellStart"/>
      <w:r>
        <w:rPr>
          <w:rFonts w:ascii="Titillium Web" w:hAnsi="Titillium Web"/>
          <w:sz w:val="22"/>
          <w:szCs w:val="22"/>
        </w:rPr>
        <w:t>……</w:t>
      </w:r>
      <w:proofErr w:type="spellEnd"/>
      <w:r>
        <w:rPr>
          <w:rFonts w:ascii="Titillium Web" w:hAnsi="Titillium Web"/>
          <w:sz w:val="22"/>
          <w:szCs w:val="22"/>
        </w:rPr>
        <w:t xml:space="preserve">) il </w:t>
      </w:r>
      <w:proofErr w:type="spellStart"/>
      <w:r>
        <w:rPr>
          <w:rFonts w:ascii="Titillium Web" w:hAnsi="Titillium Web"/>
          <w:sz w:val="22"/>
          <w:szCs w:val="22"/>
        </w:rPr>
        <w:t>………….…………….</w:t>
      </w:r>
      <w:proofErr w:type="spellEnd"/>
      <w:r>
        <w:rPr>
          <w:rFonts w:ascii="Titillium Web" w:hAnsi="Titillium Web"/>
          <w:sz w:val="22"/>
          <w:szCs w:val="22"/>
        </w:rPr>
        <w:t xml:space="preserve"> C.F.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. e residente in </w:t>
      </w:r>
      <w:proofErr w:type="spellStart"/>
      <w:r>
        <w:rPr>
          <w:rFonts w:ascii="Titillium Web" w:hAnsi="Titillium Web"/>
          <w:sz w:val="22"/>
          <w:szCs w:val="22"/>
        </w:rPr>
        <w:t>…………………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 (</w:t>
      </w:r>
      <w:proofErr w:type="spellStart"/>
      <w:r>
        <w:rPr>
          <w:rFonts w:ascii="Titillium Web" w:hAnsi="Titillium Web"/>
          <w:sz w:val="22"/>
          <w:szCs w:val="22"/>
        </w:rPr>
        <w:t>……</w:t>
      </w:r>
      <w:proofErr w:type="spellEnd"/>
      <w:r>
        <w:rPr>
          <w:rFonts w:ascii="Titillium Web" w:hAnsi="Titillium Web"/>
          <w:sz w:val="22"/>
          <w:szCs w:val="22"/>
        </w:rPr>
        <w:t xml:space="preserve">) via </w:t>
      </w:r>
      <w:proofErr w:type="spellStart"/>
      <w:r>
        <w:rPr>
          <w:rFonts w:ascii="Titillium Web" w:hAnsi="Titillium Web"/>
          <w:sz w:val="22"/>
          <w:szCs w:val="22"/>
        </w:rPr>
        <w:t>………………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 n. </w:t>
      </w:r>
      <w:proofErr w:type="spellStart"/>
      <w:r>
        <w:rPr>
          <w:rFonts w:ascii="Titillium Web" w:hAnsi="Titillium Web"/>
          <w:sz w:val="22"/>
          <w:szCs w:val="22"/>
        </w:rPr>
        <w:t>………</w:t>
      </w:r>
      <w:proofErr w:type="spellEnd"/>
      <w:r>
        <w:rPr>
          <w:rFonts w:ascii="Titillium Web" w:hAnsi="Titillium Web"/>
          <w:sz w:val="22"/>
          <w:szCs w:val="22"/>
        </w:rPr>
        <w:t xml:space="preserve"> indirizzo pec/mail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…………………………………………………………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.. professione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 con riferimento alla procedura di affidamento in oggetto in qualità di:</w:t>
      </w:r>
    </w:p>
    <w:p w:rsidR="003E007C" w:rsidRDefault="003E007C">
      <w:pPr>
        <w:pStyle w:val="LO-normal"/>
        <w:jc w:val="center"/>
        <w:rPr>
          <w:rFonts w:ascii="Titillium Web" w:hAnsi="Titillium Web" w:hint="eastAsia"/>
          <w:sz w:val="22"/>
          <w:szCs w:val="22"/>
        </w:rPr>
      </w:pPr>
      <w:bookmarkStart w:id="1" w:name="_heading=h.gjdgxs"/>
      <w:bookmarkEnd w:id="1"/>
    </w:p>
    <w:p w:rsidR="003E007C" w:rsidRDefault="004F5402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 w:hint="eastAsia"/>
          <w:sz w:val="22"/>
          <w:szCs w:val="22"/>
        </w:rPr>
      </w:pPr>
      <w:bookmarkStart w:id="2" w:name="_heading=h.30j0zll"/>
      <w:bookmarkEnd w:id="2"/>
      <w:r>
        <w:rPr>
          <w:rFonts w:ascii="Segoe UI Symbol" w:hAnsi="Segoe UI Symbol" w:cs="Segoe UI Symbol"/>
          <w:sz w:val="22"/>
          <w:szCs w:val="22"/>
        </w:rPr>
        <w:t>☐</w:t>
      </w:r>
      <w:r>
        <w:rPr>
          <w:rFonts w:ascii="Titillium Web" w:hAnsi="Titillium Web"/>
          <w:sz w:val="22"/>
          <w:szCs w:val="22"/>
        </w:rPr>
        <w:tab/>
        <w:t>legale rappresentante</w:t>
      </w:r>
    </w:p>
    <w:p w:rsidR="003E007C" w:rsidRDefault="004F5402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 w:hint="eastAsia"/>
          <w:sz w:val="22"/>
          <w:szCs w:val="22"/>
        </w:rPr>
      </w:pPr>
      <w:bookmarkStart w:id="3" w:name="_heading=h.1fob9te"/>
      <w:bookmarkEnd w:id="3"/>
      <w:r>
        <w:rPr>
          <w:rFonts w:ascii="Segoe UI Symbol" w:hAnsi="Segoe UI Symbol" w:cs="Segoe UI Symbol"/>
          <w:sz w:val="22"/>
          <w:szCs w:val="22"/>
        </w:rPr>
        <w:t>☐</w:t>
      </w:r>
      <w:r>
        <w:rPr>
          <w:rFonts w:ascii="Titillium Web" w:hAnsi="Titillium Web"/>
          <w:sz w:val="22"/>
          <w:szCs w:val="22"/>
        </w:rPr>
        <w:tab/>
        <w:t>titolare</w:t>
      </w:r>
    </w:p>
    <w:p w:rsidR="003E007C" w:rsidRDefault="004F5402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 w:hint="eastAsia"/>
          <w:sz w:val="22"/>
          <w:szCs w:val="22"/>
        </w:rPr>
      </w:pPr>
      <w:bookmarkStart w:id="4" w:name="_heading=h.3znysh7"/>
      <w:bookmarkEnd w:id="4"/>
      <w:r>
        <w:rPr>
          <w:rFonts w:ascii="Segoe UI Symbol" w:hAnsi="Segoe UI Symbol" w:cs="Segoe UI Symbol"/>
          <w:sz w:val="22"/>
          <w:szCs w:val="22"/>
        </w:rPr>
        <w:t>☐</w:t>
      </w:r>
      <w:r>
        <w:rPr>
          <w:rFonts w:ascii="Titillium Web" w:hAnsi="Titillium Web"/>
          <w:sz w:val="22"/>
          <w:szCs w:val="22"/>
        </w:rPr>
        <w:tab/>
        <w:t>procuratore: specificare ______________________________________________</w:t>
      </w:r>
    </w:p>
    <w:p w:rsidR="003E007C" w:rsidRDefault="004F5402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 w:hint="eastAsia"/>
          <w:sz w:val="22"/>
          <w:szCs w:val="22"/>
        </w:rPr>
      </w:pPr>
      <w:r>
        <w:rPr>
          <w:rFonts w:ascii="Segoe UI Symbol" w:hAnsi="Segoe UI Symbol" w:cs="Segoe UI Symbol"/>
          <w:sz w:val="22"/>
          <w:szCs w:val="22"/>
        </w:rPr>
        <w:t>☐</w:t>
      </w:r>
      <w:r>
        <w:rPr>
          <w:rFonts w:ascii="Titillium Web" w:hAnsi="Titillium Web"/>
          <w:sz w:val="22"/>
          <w:szCs w:val="22"/>
        </w:rPr>
        <w:tab/>
        <w:t>altro: specificare _________________________________________</w:t>
      </w:r>
    </w:p>
    <w:p w:rsidR="003E007C" w:rsidRDefault="003E007C">
      <w:pPr>
        <w:pStyle w:val="LO-normal"/>
        <w:spacing w:before="57" w:after="57" w:line="276" w:lineRule="auto"/>
        <w:jc w:val="both"/>
        <w:rPr>
          <w:rFonts w:ascii="Titillium Web" w:hAnsi="Titillium Web" w:hint="eastAsia"/>
          <w:sz w:val="22"/>
          <w:szCs w:val="22"/>
        </w:rPr>
      </w:pPr>
    </w:p>
    <w:p w:rsidR="003E007C" w:rsidRDefault="004F5402">
      <w:pPr>
        <w:pStyle w:val="NormaleWeb"/>
        <w:spacing w:before="280" w:after="0"/>
        <w:jc w:val="both"/>
      </w:pPr>
      <w:r>
        <w:rPr>
          <w:rFonts w:ascii="Titillium Web" w:hAnsi="Titillium Web"/>
          <w:sz w:val="22"/>
          <w:szCs w:val="22"/>
        </w:rPr>
        <w:t xml:space="preserve">della società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 con Partita I.V.A.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. Codice Fiscale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. con sede legale in </w:t>
      </w:r>
      <w:proofErr w:type="spellStart"/>
      <w:r>
        <w:rPr>
          <w:rFonts w:ascii="Titillium Web" w:hAnsi="Titillium Web"/>
          <w:sz w:val="22"/>
          <w:szCs w:val="22"/>
        </w:rPr>
        <w:t>…………………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 (</w:t>
      </w:r>
      <w:proofErr w:type="spellStart"/>
      <w:r>
        <w:rPr>
          <w:rFonts w:ascii="Titillium Web" w:hAnsi="Titillium Web"/>
          <w:sz w:val="22"/>
          <w:szCs w:val="22"/>
        </w:rPr>
        <w:t>……</w:t>
      </w:r>
      <w:proofErr w:type="spellEnd"/>
      <w:r>
        <w:rPr>
          <w:rFonts w:ascii="Titillium Web" w:hAnsi="Titillium Web"/>
          <w:sz w:val="22"/>
          <w:szCs w:val="22"/>
        </w:rPr>
        <w:t xml:space="preserve">) via </w:t>
      </w:r>
      <w:proofErr w:type="spellStart"/>
      <w:r>
        <w:rPr>
          <w:rFonts w:ascii="Titillium Web" w:hAnsi="Titillium Web"/>
          <w:sz w:val="22"/>
          <w:szCs w:val="22"/>
        </w:rPr>
        <w:t>………………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 n. </w:t>
      </w:r>
      <w:proofErr w:type="spellStart"/>
      <w:r>
        <w:rPr>
          <w:rFonts w:ascii="Titillium Web" w:hAnsi="Titillium Web"/>
          <w:sz w:val="22"/>
          <w:szCs w:val="22"/>
        </w:rPr>
        <w:t>………</w:t>
      </w:r>
      <w:proofErr w:type="spellEnd"/>
      <w:r>
        <w:rPr>
          <w:rFonts w:ascii="Titillium Web" w:hAnsi="Titillium Web"/>
          <w:sz w:val="22"/>
          <w:szCs w:val="22"/>
        </w:rPr>
        <w:t xml:space="preserve"> C.A.P. </w:t>
      </w:r>
      <w:proofErr w:type="spellStart"/>
      <w:r>
        <w:rPr>
          <w:rFonts w:ascii="Titillium Web" w:hAnsi="Titillium Web"/>
          <w:sz w:val="22"/>
          <w:szCs w:val="22"/>
        </w:rPr>
        <w:t>………….…</w:t>
      </w:r>
      <w:proofErr w:type="spellEnd"/>
      <w:r>
        <w:rPr>
          <w:rFonts w:ascii="Titillium Web" w:hAnsi="Titillium Web"/>
          <w:sz w:val="22"/>
          <w:szCs w:val="22"/>
        </w:rPr>
        <w:t xml:space="preserve"> Tel. </w:t>
      </w:r>
      <w:proofErr w:type="spellStart"/>
      <w:r>
        <w:rPr>
          <w:rFonts w:ascii="Titillium Web" w:hAnsi="Titillium Web"/>
          <w:sz w:val="22"/>
          <w:szCs w:val="22"/>
        </w:rPr>
        <w:t>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.. Fax </w:t>
      </w:r>
      <w:proofErr w:type="spellStart"/>
      <w:r>
        <w:rPr>
          <w:rFonts w:ascii="Titillium Web" w:hAnsi="Titillium Web"/>
          <w:sz w:val="22"/>
          <w:szCs w:val="22"/>
        </w:rPr>
        <w:t>…………………………</w:t>
      </w:r>
      <w:proofErr w:type="spellEnd"/>
      <w:r>
        <w:rPr>
          <w:rFonts w:ascii="Titillium Web" w:hAnsi="Titillium Web"/>
          <w:sz w:val="22"/>
          <w:szCs w:val="22"/>
        </w:rPr>
        <w:t xml:space="preserve">.. </w:t>
      </w:r>
      <w:proofErr w:type="spellStart"/>
      <w:r>
        <w:rPr>
          <w:rFonts w:ascii="Titillium Web" w:hAnsi="Titillium Web"/>
          <w:sz w:val="22"/>
          <w:szCs w:val="22"/>
        </w:rPr>
        <w:t>P.E.C.</w:t>
      </w:r>
      <w:proofErr w:type="spellEnd"/>
      <w:r>
        <w:rPr>
          <w:rFonts w:ascii="Titillium Web" w:hAnsi="Titillium Web"/>
          <w:sz w:val="22"/>
          <w:szCs w:val="22"/>
        </w:rPr>
        <w:t xml:space="preserve"> </w:t>
      </w:r>
      <w:proofErr w:type="spellStart"/>
      <w:r>
        <w:rPr>
          <w:rFonts w:ascii="Titillium Web" w:hAnsi="Titillium Web"/>
          <w:sz w:val="22"/>
          <w:szCs w:val="22"/>
        </w:rPr>
        <w:t>…………………………………………</w:t>
      </w:r>
      <w:proofErr w:type="spellEnd"/>
      <w:r>
        <w:rPr>
          <w:rFonts w:ascii="Titillium Web" w:hAnsi="Titillium Web"/>
          <w:sz w:val="22"/>
          <w:szCs w:val="22"/>
        </w:rPr>
        <w:t>..</w:t>
      </w:r>
      <w:proofErr w:type="spellStart"/>
      <w:r>
        <w:rPr>
          <w:rFonts w:ascii="Titillium Web" w:hAnsi="Titillium Web"/>
          <w:sz w:val="22"/>
          <w:szCs w:val="22"/>
        </w:rPr>
        <w:t>………………</w:t>
      </w:r>
      <w:proofErr w:type="spellEnd"/>
      <w:r>
        <w:rPr>
          <w:rFonts w:ascii="Titillium Web" w:hAnsi="Titillium Web"/>
          <w:sz w:val="22"/>
          <w:szCs w:val="22"/>
        </w:rPr>
        <w:t>..  partecipante alla procedura in oggetto del Sogge</w:t>
      </w:r>
      <w:r>
        <w:rPr>
          <w:rFonts w:ascii="Titillium Web" w:hAnsi="Titillium Web"/>
          <w:sz w:val="22"/>
          <w:szCs w:val="22"/>
        </w:rPr>
        <w:t>t</w:t>
      </w:r>
      <w:r>
        <w:rPr>
          <w:rFonts w:ascii="Titillium Web" w:hAnsi="Titillium Web"/>
          <w:sz w:val="22"/>
          <w:szCs w:val="22"/>
        </w:rPr>
        <w:t xml:space="preserve">to Realizzatore a valere sul Piano Nazionale di Ripresa e Resilienza, </w:t>
      </w:r>
      <w:r>
        <w:rPr>
          <w:rFonts w:ascii="Titillium Web" w:hAnsi="Titillium Web"/>
          <w:b/>
          <w:bCs/>
          <w:sz w:val="20"/>
          <w:szCs w:val="20"/>
        </w:rPr>
        <w:t xml:space="preserve">MISSIONE 5 COMPONENTE 2 – SUB </w:t>
      </w:r>
      <w:r>
        <w:rPr>
          <w:rFonts w:ascii="Titillium Web" w:hAnsi="Titillium Web"/>
          <w:b/>
          <w:bCs/>
          <w:sz w:val="20"/>
          <w:szCs w:val="20"/>
        </w:rPr>
        <w:lastRenderedPageBreak/>
        <w:t xml:space="preserve">INVESTIMENTO 2.1. “RIGENERAZIONE URBANA” NEXT GENERATION EU, </w:t>
      </w:r>
      <w:r>
        <w:rPr>
          <w:rFonts w:ascii="Titillium Web" w:hAnsi="Titillium Web"/>
          <w:sz w:val="22"/>
          <w:szCs w:val="22"/>
        </w:rPr>
        <w:t>vista la normativa relativa alle situazioni, anche potenziali, di conflitto di interessi, ai sensi degli articoli 46 e 47 del D.P.R. 2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</w:t>
      </w:r>
      <w:r>
        <w:rPr>
          <w:rFonts w:ascii="Titillium Web" w:hAnsi="Titillium Web"/>
          <w:sz w:val="22"/>
          <w:szCs w:val="22"/>
        </w:rPr>
        <w:t>n</w:t>
      </w:r>
      <w:r>
        <w:rPr>
          <w:rFonts w:ascii="Titillium Web" w:hAnsi="Titillium Web"/>
          <w:sz w:val="22"/>
          <w:szCs w:val="22"/>
        </w:rPr>
        <w:t>tualmente conseguenti al provvedimento emanato</w:t>
      </w:r>
    </w:p>
    <w:p w:rsidR="003E007C" w:rsidRDefault="004F5402">
      <w:pPr>
        <w:pStyle w:val="LO-normal"/>
        <w:spacing w:line="360" w:lineRule="auto"/>
        <w:jc w:val="center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>DICHIARA</w:t>
      </w:r>
    </w:p>
    <w:p w:rsidR="003E007C" w:rsidRDefault="004F5402">
      <w:pPr>
        <w:numPr>
          <w:ilvl w:val="0"/>
          <w:numId w:val="2"/>
        </w:numPr>
        <w:spacing w:before="57" w:after="57" w:line="276" w:lineRule="auto"/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>che la realizzazione delle attività affidate prevederà il rispetto delle norme comunitarie e nazionali applicabili, ivi incluse quelle in materia di trasparenza, uguaglianza di genere e pari opportunità e t</w:t>
      </w:r>
      <w:r>
        <w:rPr>
          <w:rFonts w:ascii="Titillium Web" w:hAnsi="Titillium Web" w:cs="Calibri"/>
          <w:color w:val="000000"/>
          <w:sz w:val="22"/>
          <w:szCs w:val="22"/>
        </w:rPr>
        <w:t>u</w:t>
      </w:r>
      <w:r>
        <w:rPr>
          <w:rFonts w:ascii="Titillium Web" w:hAnsi="Titillium Web" w:cs="Calibri"/>
          <w:color w:val="000000"/>
          <w:sz w:val="22"/>
          <w:szCs w:val="22"/>
        </w:rPr>
        <w:t>tela dei diversamente abili;</w:t>
      </w:r>
    </w:p>
    <w:p w:rsidR="003E007C" w:rsidRDefault="004F5402">
      <w:pPr>
        <w:numPr>
          <w:ilvl w:val="0"/>
          <w:numId w:val="2"/>
        </w:numPr>
        <w:spacing w:before="57" w:after="57" w:line="276" w:lineRule="auto"/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>che adotterà misure adeguate volte a rispettare il principio di sana gestione finanziaria secondo qua</w:t>
      </w:r>
      <w:r>
        <w:rPr>
          <w:rFonts w:ascii="Titillium Web" w:hAnsi="Titillium Web" w:cs="Calibri"/>
          <w:color w:val="000000"/>
          <w:sz w:val="22"/>
          <w:szCs w:val="22"/>
        </w:rPr>
        <w:t>n</w:t>
      </w:r>
      <w:r>
        <w:rPr>
          <w:rFonts w:ascii="Titillium Web" w:hAnsi="Titillium Web" w:cs="Calibri"/>
          <w:color w:val="000000"/>
          <w:sz w:val="22"/>
          <w:szCs w:val="22"/>
        </w:rPr>
        <w:t xml:space="preserve">to disciplinato nel Regolamento finanziario (UE, </w:t>
      </w:r>
      <w:proofErr w:type="spellStart"/>
      <w:r>
        <w:rPr>
          <w:rFonts w:ascii="Titillium Web" w:hAnsi="Titillium Web" w:cs="Calibri"/>
          <w:color w:val="000000"/>
          <w:sz w:val="22"/>
          <w:szCs w:val="22"/>
        </w:rPr>
        <w:t>Euratom</w:t>
      </w:r>
      <w:proofErr w:type="spellEnd"/>
      <w:r>
        <w:rPr>
          <w:rFonts w:ascii="Titillium Web" w:hAnsi="Titillium Web" w:cs="Calibri"/>
          <w:color w:val="000000"/>
          <w:sz w:val="22"/>
          <w:szCs w:val="22"/>
        </w:rPr>
        <w:t>) 2018/1046 e nell’articolo 22 del Regol</w:t>
      </w:r>
      <w:r>
        <w:rPr>
          <w:rFonts w:ascii="Titillium Web" w:hAnsi="Titillium Web" w:cs="Calibri"/>
          <w:color w:val="000000"/>
          <w:sz w:val="22"/>
          <w:szCs w:val="22"/>
        </w:rPr>
        <w:t>a</w:t>
      </w:r>
      <w:r>
        <w:rPr>
          <w:rFonts w:ascii="Titillium Web" w:hAnsi="Titillium Web" w:cs="Calibri"/>
          <w:color w:val="000000"/>
          <w:sz w:val="22"/>
          <w:szCs w:val="22"/>
        </w:rPr>
        <w:t>mento (UE) 2021/241, in particolare in materia di prevenzione dei conflitti di interessi, delle frodi, della corruzione;</w:t>
      </w:r>
    </w:p>
    <w:p w:rsidR="003E007C" w:rsidRDefault="004F5402">
      <w:pPr>
        <w:numPr>
          <w:ilvl w:val="0"/>
          <w:numId w:val="2"/>
        </w:numPr>
        <w:spacing w:before="57" w:after="57" w:line="276" w:lineRule="auto"/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>di disporre delle competenze, risorse e qualifiche professionali, sia tecniche che amministrative, n</w:t>
      </w:r>
      <w:r>
        <w:rPr>
          <w:rFonts w:ascii="Titillium Web" w:hAnsi="Titillium Web" w:cs="Calibri"/>
          <w:color w:val="000000"/>
          <w:sz w:val="22"/>
          <w:szCs w:val="22"/>
        </w:rPr>
        <w:t>e</w:t>
      </w:r>
      <w:r>
        <w:rPr>
          <w:rFonts w:ascii="Titillium Web" w:hAnsi="Titillium Web" w:cs="Calibri"/>
          <w:color w:val="000000"/>
          <w:sz w:val="22"/>
          <w:szCs w:val="22"/>
        </w:rPr>
        <w:t xml:space="preserve">cessarie per portare a termine il progetto e assicurare il raggiungimento di eventuali </w:t>
      </w:r>
      <w:proofErr w:type="spellStart"/>
      <w:r>
        <w:rPr>
          <w:rFonts w:ascii="Titillium Web" w:hAnsi="Titillium Web" w:cs="Calibri"/>
          <w:color w:val="000000"/>
          <w:sz w:val="22"/>
          <w:szCs w:val="22"/>
        </w:rPr>
        <w:t>Milestone</w:t>
      </w:r>
      <w:proofErr w:type="spellEnd"/>
      <w:r>
        <w:rPr>
          <w:rFonts w:ascii="Titillium Web" w:hAnsi="Titillium Web" w:cs="Calibri"/>
          <w:color w:val="000000"/>
          <w:sz w:val="22"/>
          <w:szCs w:val="22"/>
        </w:rPr>
        <w:t xml:space="preserve"> e Target associati;</w:t>
      </w:r>
    </w:p>
    <w:p w:rsidR="003E007C" w:rsidRDefault="004F5402">
      <w:pPr>
        <w:numPr>
          <w:ilvl w:val="0"/>
          <w:numId w:val="2"/>
        </w:numPr>
        <w:spacing w:before="57" w:after="57" w:line="276" w:lineRule="auto"/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>di essere a conoscenza che l’Amministrazione responsabile di intervento si riserva il diritto di proc</w:t>
      </w:r>
      <w:r>
        <w:rPr>
          <w:rFonts w:ascii="Titillium Web" w:hAnsi="Titillium Web" w:cs="Calibri"/>
          <w:color w:val="000000"/>
          <w:sz w:val="22"/>
          <w:szCs w:val="22"/>
        </w:rPr>
        <w:t>e</w:t>
      </w:r>
      <w:r>
        <w:rPr>
          <w:rFonts w:ascii="Titillium Web" w:hAnsi="Titillium Web" w:cs="Calibri"/>
          <w:color w:val="000000"/>
          <w:sz w:val="22"/>
          <w:szCs w:val="22"/>
        </w:rPr>
        <w:t>dere d’ufficio a verifiche, anche a campione, ai sensi e per gli effetti della normativa vigente;</w:t>
      </w:r>
    </w:p>
    <w:p w:rsidR="003E007C" w:rsidRDefault="004F5402">
      <w:pPr>
        <w:numPr>
          <w:ilvl w:val="0"/>
          <w:numId w:val="3"/>
        </w:numPr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 xml:space="preserve">di accettare tutte le condizioni previste dalla documentazione di gara inerenti alla presente misura; e, qualora risultasse aggiudicatario della procedura di affidamento, </w:t>
      </w:r>
    </w:p>
    <w:p w:rsidR="003E007C" w:rsidRDefault="003E007C">
      <w:pPr>
        <w:jc w:val="both"/>
        <w:rPr>
          <w:rFonts w:ascii="Titillium Web" w:hAnsi="Titillium Web" w:cs="Calibri" w:hint="eastAsia"/>
          <w:b/>
          <w:bCs/>
          <w:color w:val="000000"/>
          <w:sz w:val="22"/>
          <w:szCs w:val="22"/>
          <w:highlight w:val="red"/>
        </w:rPr>
      </w:pPr>
    </w:p>
    <w:p w:rsidR="003E007C" w:rsidRDefault="004F5402">
      <w:pPr>
        <w:jc w:val="center"/>
        <w:rPr>
          <w:rFonts w:ascii="Titillium Web" w:hAnsi="Titillium Web" w:cs="Calibri" w:hint="eastAsia"/>
          <w:b/>
          <w:bCs/>
          <w:color w:val="000000"/>
          <w:sz w:val="22"/>
          <w:szCs w:val="22"/>
          <w:lang w:eastAsia="zh-CN" w:bidi="hi-IN"/>
        </w:rPr>
      </w:pPr>
      <w:r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  <w:t>SI IMPEGNA</w:t>
      </w:r>
    </w:p>
    <w:p w:rsidR="003E007C" w:rsidRDefault="003E007C">
      <w:pPr>
        <w:jc w:val="center"/>
        <w:rPr>
          <w:rFonts w:ascii="Titillium Web" w:hAnsi="Titillium Web" w:cs="Calibri" w:hint="eastAsia"/>
          <w:b/>
          <w:bCs/>
          <w:color w:val="000000"/>
          <w:sz w:val="22"/>
          <w:szCs w:val="22"/>
          <w:highlight w:val="red"/>
        </w:rPr>
      </w:pPr>
    </w:p>
    <w:p w:rsidR="003E007C" w:rsidRDefault="004F5402">
      <w:pPr>
        <w:numPr>
          <w:ilvl w:val="0"/>
          <w:numId w:val="4"/>
        </w:numPr>
        <w:spacing w:line="276" w:lineRule="auto"/>
        <w:jc w:val="both"/>
        <w:rPr>
          <w:rFonts w:ascii="Titillium Web" w:hAnsi="Titillium Web" w:cs="Calibri" w:hint="eastAsia"/>
          <w:sz w:val="22"/>
          <w:szCs w:val="22"/>
        </w:rPr>
      </w:pPr>
      <w:r>
        <w:rPr>
          <w:rFonts w:ascii="Titillium Web" w:hAnsi="Titillium Web" w:cs="Calibri"/>
          <w:sz w:val="22"/>
          <w:szCs w:val="22"/>
        </w:rPr>
        <w:t xml:space="preserve">ad avviare tempestivamente le attività necessarie per non incorrere in ritardi attuativi e concluderle nella forma, nei modi e nei tempi previsti al fine di rispettare il </w:t>
      </w:r>
      <w:proofErr w:type="spellStart"/>
      <w:r>
        <w:rPr>
          <w:rFonts w:ascii="Titillium Web" w:hAnsi="Titillium Web" w:cs="Calibri"/>
          <w:sz w:val="22"/>
          <w:szCs w:val="22"/>
        </w:rPr>
        <w:t>cronoprogramma</w:t>
      </w:r>
      <w:proofErr w:type="spellEnd"/>
      <w:r>
        <w:rPr>
          <w:rFonts w:ascii="Titillium Web" w:hAnsi="Titillium Web" w:cs="Calibri"/>
          <w:sz w:val="22"/>
          <w:szCs w:val="22"/>
        </w:rPr>
        <w:t xml:space="preserve"> di Progetto, cosi come indicato nell’accordo di concessione del finanziamento;</w:t>
      </w:r>
    </w:p>
    <w:p w:rsidR="003E007C" w:rsidRDefault="004F5402">
      <w:pPr>
        <w:numPr>
          <w:ilvl w:val="0"/>
          <w:numId w:val="4"/>
        </w:numPr>
        <w:spacing w:line="276" w:lineRule="auto"/>
        <w:jc w:val="both"/>
        <w:rPr>
          <w:rFonts w:ascii="Titillium Web" w:hAnsi="Titillium Web" w:cs="Calibri" w:hint="eastAsia"/>
          <w:sz w:val="22"/>
          <w:szCs w:val="22"/>
        </w:rPr>
      </w:pPr>
      <w:r>
        <w:rPr>
          <w:rFonts w:ascii="Titillium Web" w:hAnsi="Titillium Web" w:cs="Calibri"/>
          <w:sz w:val="22"/>
          <w:szCs w:val="22"/>
        </w:rPr>
        <w:t xml:space="preserve">a garantire: </w:t>
      </w:r>
    </w:p>
    <w:p w:rsidR="003E007C" w:rsidRDefault="004F5402">
      <w:pPr>
        <w:numPr>
          <w:ilvl w:val="1"/>
          <w:numId w:val="5"/>
        </w:numPr>
        <w:spacing w:line="276" w:lineRule="auto"/>
        <w:jc w:val="both"/>
        <w:rPr>
          <w:rFonts w:ascii="Titillium Web" w:hAnsi="Titillium Web" w:cs="Calibri" w:hint="eastAsia"/>
          <w:sz w:val="22"/>
          <w:szCs w:val="22"/>
        </w:rPr>
      </w:pPr>
      <w:r>
        <w:rPr>
          <w:rFonts w:ascii="Titillium Web" w:hAnsi="Titillium Web" w:cs="Calibri"/>
          <w:sz w:val="22"/>
          <w:szCs w:val="22"/>
        </w:rPr>
        <w:t xml:space="preserve">il raggiungimento di eventuali </w:t>
      </w:r>
      <w:proofErr w:type="spellStart"/>
      <w:r>
        <w:rPr>
          <w:rFonts w:ascii="Titillium Web" w:hAnsi="Titillium Web" w:cs="Calibri"/>
          <w:sz w:val="22"/>
          <w:szCs w:val="22"/>
        </w:rPr>
        <w:t>Milestones</w:t>
      </w:r>
      <w:proofErr w:type="spellEnd"/>
      <w:r>
        <w:rPr>
          <w:rFonts w:ascii="Titillium Web" w:hAnsi="Titillium Web" w:cs="Calibri"/>
          <w:sz w:val="22"/>
          <w:szCs w:val="22"/>
        </w:rPr>
        <w:t xml:space="preserve"> e Target associati, incluso il contributo programmato al Target della misura; </w:t>
      </w:r>
    </w:p>
    <w:p w:rsidR="003E007C" w:rsidRDefault="004F5402">
      <w:pPr>
        <w:numPr>
          <w:ilvl w:val="1"/>
          <w:numId w:val="5"/>
        </w:numPr>
        <w:spacing w:line="276" w:lineRule="auto"/>
        <w:jc w:val="both"/>
        <w:rPr>
          <w:rFonts w:ascii="Titillium Web" w:hAnsi="Titillium Web" w:cs="Calibri" w:hint="eastAsia"/>
          <w:sz w:val="22"/>
          <w:szCs w:val="22"/>
        </w:rPr>
      </w:pPr>
      <w:r>
        <w:rPr>
          <w:rFonts w:ascii="Titillium Web" w:hAnsi="Titillium Web" w:cs="Calibri"/>
          <w:sz w:val="22"/>
          <w:szCs w:val="22"/>
        </w:rPr>
        <w:t>a garantire il rispetto degli obiettivi ambientali, tra cui il principio di non arrecare un danno s</w:t>
      </w:r>
      <w:r>
        <w:rPr>
          <w:rFonts w:ascii="Titillium Web" w:hAnsi="Titillium Web" w:cs="Calibri"/>
          <w:sz w:val="22"/>
          <w:szCs w:val="22"/>
        </w:rPr>
        <w:t>i</w:t>
      </w:r>
      <w:r>
        <w:rPr>
          <w:rFonts w:ascii="Titillium Web" w:hAnsi="Titillium Web" w:cs="Calibri"/>
          <w:sz w:val="22"/>
          <w:szCs w:val="22"/>
        </w:rPr>
        <w:t xml:space="preserve">gnificativo (DNSH, “Do no </w:t>
      </w:r>
      <w:proofErr w:type="spellStart"/>
      <w:r>
        <w:rPr>
          <w:rFonts w:ascii="Titillium Web" w:hAnsi="Titillium Web" w:cs="Calibri"/>
          <w:sz w:val="22"/>
          <w:szCs w:val="22"/>
        </w:rPr>
        <w:t>significant</w:t>
      </w:r>
      <w:proofErr w:type="spellEnd"/>
      <w:r>
        <w:rPr>
          <w:rFonts w:ascii="Titillium Web" w:hAnsi="Titillium Web" w:cs="Calibri"/>
          <w:sz w:val="22"/>
          <w:szCs w:val="22"/>
        </w:rPr>
        <w:t xml:space="preserve"> </w:t>
      </w:r>
      <w:proofErr w:type="spellStart"/>
      <w:r>
        <w:rPr>
          <w:rFonts w:ascii="Titillium Web" w:hAnsi="Titillium Web" w:cs="Calibri"/>
          <w:sz w:val="22"/>
          <w:szCs w:val="22"/>
        </w:rPr>
        <w:t>harm</w:t>
      </w:r>
      <w:proofErr w:type="spellEnd"/>
      <w:r>
        <w:rPr>
          <w:rFonts w:ascii="Titillium Web" w:hAnsi="Titillium Web" w:cs="Calibri"/>
          <w:sz w:val="22"/>
          <w:szCs w:val="22"/>
        </w:rPr>
        <w:t>”),</w:t>
      </w:r>
    </w:p>
    <w:p w:rsidR="003E007C" w:rsidRDefault="004F5402">
      <w:pPr>
        <w:numPr>
          <w:ilvl w:val="1"/>
          <w:numId w:val="5"/>
        </w:numPr>
        <w:spacing w:line="276" w:lineRule="auto"/>
        <w:jc w:val="both"/>
        <w:rPr>
          <w:rFonts w:ascii="Titillium Web" w:hAnsi="Titillium Web" w:cs="Calibri" w:hint="eastAsia"/>
          <w:sz w:val="22"/>
          <w:szCs w:val="22"/>
        </w:rPr>
      </w:pPr>
      <w:r>
        <w:rPr>
          <w:rFonts w:ascii="Titillium Web" w:hAnsi="Titillium Web" w:cs="Calibri"/>
          <w:sz w:val="22"/>
          <w:szCs w:val="22"/>
        </w:rPr>
        <w:t xml:space="preserve">il rispetto dei principi trasversali previsti dal PNRR, quali, tra l’altro, il principio del contributo all’obiettivo climatico e digitale (c.d. </w:t>
      </w:r>
      <w:proofErr w:type="spellStart"/>
      <w:r>
        <w:rPr>
          <w:rFonts w:ascii="Titillium Web" w:hAnsi="Titillium Web" w:cs="Calibri"/>
          <w:sz w:val="22"/>
          <w:szCs w:val="22"/>
        </w:rPr>
        <w:t>tagging</w:t>
      </w:r>
      <w:proofErr w:type="spellEnd"/>
      <w:r>
        <w:rPr>
          <w:rFonts w:ascii="Titillium Web" w:hAnsi="Titillium Web" w:cs="Calibri"/>
          <w:sz w:val="22"/>
          <w:szCs w:val="22"/>
        </w:rPr>
        <w:t>), il principio delle pari opportunità di genere e l’obbligo di protezione e valorizzazione dei giovani nonché l’inclusione lavorativa di persone con disabilità.</w:t>
      </w:r>
    </w:p>
    <w:p w:rsidR="003E007C" w:rsidRDefault="004F5402">
      <w:pPr>
        <w:numPr>
          <w:ilvl w:val="0"/>
          <w:numId w:val="4"/>
        </w:numPr>
        <w:spacing w:line="276" w:lineRule="auto"/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>ad assicurare la tracciabilità nell’utilizzo delle risorse del PNRR e a presentare la rendicontazione delle spese effettivamente sostenute nei tempi e nei modi previsti dalla documentazione di gara;</w:t>
      </w:r>
    </w:p>
    <w:p w:rsidR="003E007C" w:rsidRDefault="004F5402">
      <w:pPr>
        <w:numPr>
          <w:ilvl w:val="0"/>
          <w:numId w:val="4"/>
        </w:numPr>
        <w:spacing w:line="276" w:lineRule="auto"/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>a rispettare gli obblighi in materia di comunicazione e informazione previsti dall’articolo 34 del R</w:t>
      </w:r>
      <w:r>
        <w:rPr>
          <w:rFonts w:ascii="Titillium Web" w:hAnsi="Titillium Web" w:cs="Calibri"/>
          <w:color w:val="000000"/>
          <w:sz w:val="22"/>
          <w:szCs w:val="22"/>
        </w:rPr>
        <w:t>e</w:t>
      </w:r>
      <w:r>
        <w:rPr>
          <w:rFonts w:ascii="Titillium Web" w:hAnsi="Titillium Web" w:cs="Calibri"/>
          <w:color w:val="000000"/>
          <w:sz w:val="22"/>
          <w:szCs w:val="22"/>
        </w:rPr>
        <w:t>golamento (UE) 2021/241, indicando in tutta la documentazione amministrativa e tecnica che il pr</w:t>
      </w:r>
      <w:r>
        <w:rPr>
          <w:rFonts w:ascii="Titillium Web" w:hAnsi="Titillium Web" w:cs="Calibri"/>
          <w:color w:val="000000"/>
          <w:sz w:val="22"/>
          <w:szCs w:val="22"/>
        </w:rPr>
        <w:t>o</w:t>
      </w:r>
      <w:r>
        <w:rPr>
          <w:rFonts w:ascii="Titillium Web" w:hAnsi="Titillium Web" w:cs="Calibri"/>
          <w:color w:val="000000"/>
          <w:sz w:val="22"/>
          <w:szCs w:val="22"/>
        </w:rPr>
        <w:t xml:space="preserve">getto e finanziato nell’ambito del PNRR, con una esplicita dichiarazione di finanziamento che reciti “Finanziato dall’Unione europea – </w:t>
      </w:r>
      <w:proofErr w:type="spellStart"/>
      <w:r>
        <w:rPr>
          <w:rFonts w:ascii="Titillium Web" w:hAnsi="Titillium Web" w:cs="Calibri"/>
          <w:color w:val="000000"/>
          <w:sz w:val="22"/>
          <w:szCs w:val="22"/>
        </w:rPr>
        <w:t>Next</w:t>
      </w:r>
      <w:proofErr w:type="spellEnd"/>
      <w:r>
        <w:rPr>
          <w:rFonts w:ascii="Titillium Web" w:hAnsi="Titillium Web" w:cs="Calibri"/>
          <w:color w:val="000000"/>
          <w:sz w:val="22"/>
          <w:szCs w:val="22"/>
        </w:rPr>
        <w:t xml:space="preserve"> Generation EU” e valorizzando l’emblema dell’Unione e</w:t>
      </w:r>
      <w:r>
        <w:rPr>
          <w:rFonts w:ascii="Titillium Web" w:hAnsi="Titillium Web" w:cs="Calibri"/>
          <w:color w:val="000000"/>
          <w:sz w:val="22"/>
          <w:szCs w:val="22"/>
        </w:rPr>
        <w:t>u</w:t>
      </w:r>
      <w:r>
        <w:rPr>
          <w:rFonts w:ascii="Titillium Web" w:hAnsi="Titillium Web" w:cs="Calibri"/>
          <w:color w:val="000000"/>
          <w:sz w:val="22"/>
          <w:szCs w:val="22"/>
        </w:rPr>
        <w:t>ropea;</w:t>
      </w:r>
    </w:p>
    <w:p w:rsidR="003E007C" w:rsidRDefault="004F5402">
      <w:pPr>
        <w:numPr>
          <w:ilvl w:val="0"/>
          <w:numId w:val="4"/>
        </w:numPr>
        <w:spacing w:line="276" w:lineRule="auto"/>
        <w:jc w:val="both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 xml:space="preserve">a rispettare tutte le indicazioni che saranno fornite dal Comune di Zola </w:t>
      </w:r>
      <w:proofErr w:type="spellStart"/>
      <w:r>
        <w:rPr>
          <w:rFonts w:ascii="Titillium Web" w:hAnsi="Titillium Web" w:cs="Calibri"/>
          <w:color w:val="000000"/>
          <w:sz w:val="22"/>
          <w:szCs w:val="22"/>
        </w:rPr>
        <w:t>Predosa</w:t>
      </w:r>
      <w:proofErr w:type="spellEnd"/>
      <w:r>
        <w:rPr>
          <w:rFonts w:ascii="Titillium Web" w:hAnsi="Titillium Web" w:cs="Calibri"/>
          <w:color w:val="000000"/>
          <w:sz w:val="22"/>
          <w:szCs w:val="22"/>
        </w:rPr>
        <w:t xml:space="preserve"> in merito all’attuazione degli interventi anche successive alla pubblicazione della gara;</w:t>
      </w:r>
    </w:p>
    <w:p w:rsidR="003E007C" w:rsidRDefault="004F5402">
      <w:pPr>
        <w:numPr>
          <w:ilvl w:val="0"/>
          <w:numId w:val="4"/>
        </w:numPr>
        <w:spacing w:line="276" w:lineRule="auto"/>
        <w:jc w:val="both"/>
        <w:rPr>
          <w:rFonts w:ascii="Titillium Web" w:hAnsi="Titillium Web" w:cs="Calibri" w:hint="eastAsia"/>
          <w:color w:val="000000"/>
          <w:sz w:val="22"/>
          <w:szCs w:val="22"/>
        </w:rPr>
      </w:pPr>
      <w:r>
        <w:rPr>
          <w:rFonts w:ascii="Titillium Web" w:hAnsi="Titillium Web" w:cs="Calibri"/>
          <w:color w:val="000000"/>
          <w:sz w:val="22"/>
          <w:szCs w:val="22"/>
        </w:rPr>
        <w:t>ad assicurare la conservazione della documentazione progettuale in fascicoli cartacei o informatici ai fini della completa tracciabilità delle operazioni.</w:t>
      </w:r>
    </w:p>
    <w:p w:rsidR="003E007C" w:rsidRDefault="003E007C">
      <w:pPr>
        <w:pStyle w:val="LO-normal"/>
        <w:spacing w:line="360" w:lineRule="auto"/>
        <w:ind w:left="1080"/>
        <w:jc w:val="both"/>
        <w:rPr>
          <w:rFonts w:ascii="Titillium Web" w:hAnsi="Titillium Web" w:hint="eastAsia"/>
          <w:sz w:val="22"/>
          <w:szCs w:val="22"/>
        </w:rPr>
      </w:pPr>
    </w:p>
    <w:p w:rsidR="003E007C" w:rsidRDefault="004F5402">
      <w:pPr>
        <w:pStyle w:val="LO-normal"/>
        <w:ind w:left="360"/>
        <w:jc w:val="both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 xml:space="preserve">Luogo e data </w:t>
      </w:r>
      <w:r>
        <w:rPr>
          <w:rFonts w:ascii="Titillium Web" w:hAnsi="Titillium Web"/>
          <w:sz w:val="22"/>
          <w:szCs w:val="22"/>
        </w:rPr>
        <w:tab/>
      </w:r>
      <w:r>
        <w:rPr>
          <w:rFonts w:ascii="Titillium Web" w:hAnsi="Titillium Web"/>
          <w:sz w:val="22"/>
          <w:szCs w:val="22"/>
        </w:rPr>
        <w:tab/>
      </w:r>
    </w:p>
    <w:p w:rsidR="003E007C" w:rsidRDefault="004F5402">
      <w:pPr>
        <w:pStyle w:val="LO-normal"/>
        <w:ind w:left="360"/>
        <w:jc w:val="right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 xml:space="preserve">Firma </w:t>
      </w:r>
    </w:p>
    <w:p w:rsidR="003E007C" w:rsidRDefault="003E007C">
      <w:pPr>
        <w:pStyle w:val="LO-normal"/>
        <w:ind w:left="360"/>
        <w:jc w:val="right"/>
        <w:rPr>
          <w:rFonts w:ascii="Titillium Web" w:hAnsi="Titillium Web" w:hint="eastAsia"/>
          <w:b/>
          <w:sz w:val="22"/>
          <w:szCs w:val="22"/>
        </w:rPr>
      </w:pPr>
    </w:p>
    <w:p w:rsidR="003E007C" w:rsidRDefault="004F5402">
      <w:pPr>
        <w:pStyle w:val="LO-normal"/>
        <w:ind w:left="360"/>
        <w:jc w:val="right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ab/>
      </w:r>
      <w:r>
        <w:rPr>
          <w:rFonts w:ascii="Titillium Web" w:hAnsi="Titillium Web"/>
          <w:b/>
          <w:sz w:val="22"/>
          <w:szCs w:val="22"/>
        </w:rPr>
        <w:tab/>
      </w:r>
      <w:r>
        <w:rPr>
          <w:rFonts w:ascii="Titillium Web" w:hAnsi="Titillium Web"/>
          <w:b/>
          <w:sz w:val="22"/>
          <w:szCs w:val="22"/>
        </w:rPr>
        <w:tab/>
      </w:r>
      <w:r>
        <w:rPr>
          <w:rFonts w:ascii="Titillium Web" w:hAnsi="Titillium Web"/>
          <w:b/>
          <w:sz w:val="22"/>
          <w:szCs w:val="22"/>
        </w:rPr>
        <w:tab/>
      </w:r>
      <w:r>
        <w:rPr>
          <w:rFonts w:ascii="Titillium Web" w:hAnsi="Titillium Web"/>
          <w:b/>
          <w:sz w:val="22"/>
          <w:szCs w:val="22"/>
        </w:rPr>
        <w:tab/>
      </w:r>
      <w:r>
        <w:rPr>
          <w:rFonts w:ascii="Titillium Web" w:hAnsi="Titillium Web"/>
          <w:b/>
          <w:sz w:val="22"/>
          <w:szCs w:val="22"/>
        </w:rPr>
        <w:tab/>
      </w:r>
      <w:r>
        <w:rPr>
          <w:rFonts w:ascii="Titillium Web" w:hAnsi="Titillium Web"/>
          <w:b/>
          <w:sz w:val="22"/>
          <w:szCs w:val="22"/>
        </w:rPr>
        <w:tab/>
      </w:r>
      <w:r>
        <w:rPr>
          <w:rFonts w:ascii="Titillium Web" w:hAnsi="Titillium Web"/>
          <w:b/>
          <w:sz w:val="22"/>
          <w:szCs w:val="22"/>
        </w:rPr>
        <w:tab/>
      </w:r>
      <w:proofErr w:type="spellStart"/>
      <w:r>
        <w:rPr>
          <w:rFonts w:ascii="Titillium Web" w:hAnsi="Titillium Web"/>
          <w:b/>
          <w:sz w:val="22"/>
          <w:szCs w:val="22"/>
        </w:rPr>
        <w:t>………………………………</w:t>
      </w:r>
      <w:proofErr w:type="spellEnd"/>
    </w:p>
    <w:p w:rsidR="003E007C" w:rsidRDefault="003E007C">
      <w:pPr>
        <w:pStyle w:val="LO-normal"/>
        <w:ind w:left="360"/>
        <w:rPr>
          <w:rFonts w:ascii="Titillium Web" w:hAnsi="Titillium Web" w:hint="eastAsia"/>
          <w:b/>
          <w:sz w:val="22"/>
          <w:szCs w:val="22"/>
        </w:rPr>
      </w:pPr>
    </w:p>
    <w:p w:rsidR="003E007C" w:rsidRDefault="004F5402">
      <w:pPr>
        <w:pStyle w:val="LO-normal"/>
        <w:spacing w:before="57" w:after="57" w:line="276" w:lineRule="auto"/>
        <w:jc w:val="center"/>
        <w:rPr>
          <w:rFonts w:ascii="Titillium Web" w:hAnsi="Titillium Web" w:hint="eastAsia"/>
          <w:sz w:val="22"/>
          <w:szCs w:val="22"/>
        </w:rPr>
      </w:pPr>
      <w:r>
        <w:rPr>
          <w:rFonts w:ascii="Titillium Web" w:hAnsi="Titillium Web"/>
          <w:b/>
          <w:sz w:val="22"/>
          <w:szCs w:val="22"/>
        </w:rPr>
        <w:t>a tal fine allega:</w:t>
      </w:r>
    </w:p>
    <w:p w:rsidR="003E007C" w:rsidRDefault="003E007C">
      <w:pPr>
        <w:pStyle w:val="LO-normal"/>
        <w:spacing w:before="57" w:after="57" w:line="276" w:lineRule="auto"/>
        <w:jc w:val="center"/>
        <w:rPr>
          <w:rFonts w:ascii="Titillium Web" w:hAnsi="Titillium Web" w:hint="eastAsia"/>
          <w:sz w:val="22"/>
          <w:szCs w:val="22"/>
        </w:rPr>
      </w:pPr>
    </w:p>
    <w:p w:rsidR="003E007C" w:rsidRDefault="004F5402">
      <w:pPr>
        <w:pStyle w:val="LO-normal"/>
        <w:numPr>
          <w:ilvl w:val="1"/>
          <w:numId w:val="1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>copia fotostatica di un documento d’identità del sottoscrittore/dei sottoscrittori (nel caso di sottoscrizione con firma olografa);</w:t>
      </w:r>
    </w:p>
    <w:p w:rsidR="003E007C" w:rsidRDefault="004F5402">
      <w:pPr>
        <w:pStyle w:val="LO-normal"/>
        <w:numPr>
          <w:ilvl w:val="1"/>
          <w:numId w:val="1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 xml:space="preserve">(in caso di procuratori firmatari) copia conforme all’originale della procura oppure </w:t>
      </w:r>
      <w:r>
        <w:rPr>
          <w:rFonts w:ascii="Titillium Web" w:hAnsi="Titillium Web"/>
          <w:sz w:val="22"/>
          <w:szCs w:val="22"/>
          <w:u w:val="single"/>
        </w:rPr>
        <w:t>nel solo caso</w:t>
      </w:r>
      <w:r>
        <w:rPr>
          <w:rFonts w:ascii="Titillium Web" w:hAnsi="Titillium Web"/>
          <w:sz w:val="22"/>
          <w:szCs w:val="22"/>
        </w:rPr>
        <w:t xml:space="preserve"> in cui dalla visura camerale del concorrente risulti l’indicazione espressa dei poteri</w:t>
      </w:r>
      <w:r>
        <w:rPr>
          <w:rFonts w:ascii="Titillium Web" w:eastAsia="Verdana" w:hAnsi="Titillium Web" w:cs="Verdana"/>
          <w:sz w:val="22"/>
          <w:szCs w:val="22"/>
        </w:rPr>
        <w:t xml:space="preserve"> </w:t>
      </w:r>
      <w:r>
        <w:rPr>
          <w:rFonts w:ascii="Titillium Web" w:hAnsi="Titillium Web"/>
          <w:sz w:val="22"/>
          <w:szCs w:val="22"/>
        </w:rPr>
        <w:t>rappresentativi conferiti con la procura, la dichiarazione sostitutiva resa dal procuratore attestante la sussistenza dei poteri rappresentativi risultanti dalla visura.</w:t>
      </w:r>
    </w:p>
    <w:p w:rsidR="003E007C" w:rsidRDefault="003E007C">
      <w:pPr>
        <w:pStyle w:val="LO-normal"/>
        <w:spacing w:before="57" w:after="57" w:line="276" w:lineRule="auto"/>
        <w:jc w:val="both"/>
        <w:rPr>
          <w:rFonts w:ascii="Titillium Web" w:eastAsia="Calibri" w:hAnsi="Titillium Web" w:cs="Calibri"/>
          <w:sz w:val="22"/>
          <w:szCs w:val="22"/>
        </w:rPr>
      </w:pPr>
    </w:p>
    <w:sectPr w:rsidR="003E007C" w:rsidSect="003E007C">
      <w:headerReference w:type="default" r:id="rId10"/>
      <w:pgSz w:w="11906" w:h="16838"/>
      <w:pgMar w:top="1735" w:right="1134" w:bottom="1134" w:left="1134" w:header="720" w:footer="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07C" w:rsidRDefault="003E007C" w:rsidP="003E007C">
      <w:pPr>
        <w:spacing w:line="240" w:lineRule="auto"/>
      </w:pPr>
      <w:r>
        <w:separator/>
      </w:r>
    </w:p>
  </w:endnote>
  <w:endnote w:type="continuationSeparator" w:id="0">
    <w:p w:rsidR="003E007C" w:rsidRDefault="003E007C" w:rsidP="003E0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Noto Sans Symbol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tillium Web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07C" w:rsidRDefault="003E007C" w:rsidP="003E007C">
      <w:pPr>
        <w:spacing w:line="240" w:lineRule="auto"/>
      </w:pPr>
      <w:r>
        <w:separator/>
      </w:r>
    </w:p>
  </w:footnote>
  <w:footnote w:type="continuationSeparator" w:id="0">
    <w:p w:rsidR="003E007C" w:rsidRDefault="003E007C" w:rsidP="003E00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07C" w:rsidRDefault="004F5402">
    <w:pPr>
      <w:pStyle w:val="LO-normal"/>
      <w:ind w:right="-568"/>
    </w:pPr>
    <w:r>
      <w:t xml:space="preserve">   </w:t>
    </w:r>
  </w:p>
  <w:p w:rsidR="003E007C" w:rsidRDefault="003E007C">
    <w:pPr>
      <w:pStyle w:val="LO-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44852"/>
    <w:multiLevelType w:val="multilevel"/>
    <w:tmpl w:val="70D0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2559706F"/>
    <w:multiLevelType w:val="multilevel"/>
    <w:tmpl w:val="4080EB1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2">
    <w:nsid w:val="32F05DA8"/>
    <w:multiLevelType w:val="multilevel"/>
    <w:tmpl w:val="6EDC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EA2018F"/>
    <w:multiLevelType w:val="multilevel"/>
    <w:tmpl w:val="F8DE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754D657D"/>
    <w:multiLevelType w:val="multilevel"/>
    <w:tmpl w:val="81F03C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BA95E00"/>
    <w:multiLevelType w:val="multilevel"/>
    <w:tmpl w:val="EBC2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E007C"/>
    <w:rsid w:val="002825EA"/>
    <w:rsid w:val="003E007C"/>
    <w:rsid w:val="003E6E40"/>
    <w:rsid w:val="004F5402"/>
    <w:rsid w:val="005D0281"/>
    <w:rsid w:val="00B34C47"/>
    <w:rsid w:val="00BD326B"/>
    <w:rsid w:val="00DE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Arial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36A0"/>
    <w:pPr>
      <w:suppressAutoHyphens w:val="0"/>
      <w:spacing w:line="1" w:lineRule="atLeast"/>
      <w:textAlignment w:val="top"/>
      <w:outlineLvl w:val="0"/>
    </w:pPr>
    <w:rPr>
      <w:sz w:val="24"/>
      <w:szCs w:val="24"/>
      <w:lang w:eastAsia="ja-JP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sid w:val="008236A0"/>
    <w:rPr>
      <w:rFonts w:ascii="Arial" w:eastAsia="MS Mincho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4">
    <w:name w:val="WW8Num2z4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sid w:val="008236A0"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qFormat/>
    <w:rsid w:val="008236A0"/>
    <w:rPr>
      <w:color w:val="0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Punti">
    <w:name w:val="Punti"/>
    <w:qFormat/>
    <w:rsid w:val="008236A0"/>
    <w:rPr>
      <w:rFonts w:ascii="OpenSymbol" w:eastAsia="OpenSymbol" w:hAnsi="OpenSymbol" w:cs="Open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72A6E"/>
    <w:rPr>
      <w:rFonts w:ascii="Tahoma" w:hAnsi="Tahoma" w:cs="Tahoma"/>
      <w:sz w:val="16"/>
      <w:szCs w:val="16"/>
      <w:lang w:eastAsia="ja-JP" w:bidi="ar-SA"/>
    </w:rPr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933293"/>
    <w:rPr>
      <w:sz w:val="24"/>
      <w:szCs w:val="24"/>
      <w:lang w:eastAsia="ja-JP" w:bidi="ar-SA"/>
    </w:rPr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933293"/>
    <w:rPr>
      <w:sz w:val="24"/>
      <w:szCs w:val="24"/>
      <w:lang w:eastAsia="ja-JP" w:bidi="ar-SA"/>
    </w:rPr>
  </w:style>
  <w:style w:type="character" w:styleId="Enfasigrassetto">
    <w:name w:val="Strong"/>
    <w:basedOn w:val="Carpredefinitoparagrafo"/>
    <w:uiPriority w:val="22"/>
    <w:qFormat/>
    <w:rsid w:val="00DD7AC4"/>
    <w:rPr>
      <w:b/>
      <w:bCs/>
    </w:rPr>
  </w:style>
  <w:style w:type="paragraph" w:styleId="Titolo">
    <w:name w:val="Title"/>
    <w:basedOn w:val="LO-normal"/>
    <w:next w:val="Corpodeltesto"/>
    <w:qFormat/>
    <w:rsid w:val="008236A0"/>
    <w:pPr>
      <w:keepNext/>
      <w:keepLines/>
      <w:spacing w:before="480" w:after="120"/>
    </w:pPr>
    <w:rPr>
      <w:b/>
      <w:sz w:val="72"/>
      <w:szCs w:val="72"/>
    </w:rPr>
  </w:style>
  <w:style w:type="paragraph" w:styleId="Corpodeltesto">
    <w:name w:val="Body Text"/>
    <w:basedOn w:val="Normale"/>
    <w:rsid w:val="008236A0"/>
    <w:pPr>
      <w:spacing w:after="140" w:line="276" w:lineRule="auto"/>
    </w:pPr>
  </w:style>
  <w:style w:type="paragraph" w:styleId="Elenco">
    <w:name w:val="List"/>
    <w:basedOn w:val="Corpotesto1"/>
    <w:qFormat/>
    <w:rsid w:val="008236A0"/>
  </w:style>
  <w:style w:type="paragraph" w:customStyle="1" w:styleId="Caption">
    <w:name w:val="Caption"/>
    <w:basedOn w:val="Normale"/>
    <w:qFormat/>
    <w:rsid w:val="003E007C"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rsid w:val="008236A0"/>
    <w:pPr>
      <w:suppressLineNumbers/>
    </w:pPr>
  </w:style>
  <w:style w:type="paragraph" w:customStyle="1" w:styleId="Titolo11">
    <w:name w:val="Titolo 11"/>
    <w:basedOn w:val="LO-normal"/>
    <w:next w:val="LO-normal"/>
    <w:qFormat/>
    <w:rsid w:val="008236A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Titolo21">
    <w:name w:val="Titolo 21"/>
    <w:basedOn w:val="LO-normal"/>
    <w:next w:val="LO-normal"/>
    <w:qFormat/>
    <w:rsid w:val="008236A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Titolo31">
    <w:name w:val="Titolo 31"/>
    <w:basedOn w:val="Titolo1"/>
    <w:next w:val="Corpotesto1"/>
    <w:qFormat/>
    <w:rsid w:val="008236A0"/>
    <w:pPr>
      <w:spacing w:before="140" w:after="0"/>
      <w:outlineLvl w:val="2"/>
    </w:pPr>
    <w:rPr>
      <w:rFonts w:ascii="Liberation Serif" w:eastAsia="SimSun" w:hAnsi="Liberation Serif"/>
      <w:b/>
      <w:bCs/>
      <w:color w:val="808080"/>
    </w:rPr>
  </w:style>
  <w:style w:type="paragraph" w:customStyle="1" w:styleId="Titolo41">
    <w:name w:val="Titolo 41"/>
    <w:basedOn w:val="LO-normal"/>
    <w:next w:val="LO-normal"/>
    <w:qFormat/>
    <w:rsid w:val="008236A0"/>
    <w:pPr>
      <w:keepNext/>
      <w:keepLines/>
      <w:spacing w:before="240" w:after="40"/>
    </w:pPr>
    <w:rPr>
      <w:b/>
      <w:szCs w:val="24"/>
    </w:rPr>
  </w:style>
  <w:style w:type="paragraph" w:customStyle="1" w:styleId="Titolo51">
    <w:name w:val="Titolo 51"/>
    <w:basedOn w:val="LO-normal"/>
    <w:next w:val="LO-normal"/>
    <w:qFormat/>
    <w:rsid w:val="008236A0"/>
    <w:pPr>
      <w:keepNext/>
      <w:keepLines/>
      <w:spacing w:before="220" w:after="40"/>
    </w:pPr>
    <w:rPr>
      <w:b/>
      <w:sz w:val="22"/>
      <w:szCs w:val="22"/>
    </w:rPr>
  </w:style>
  <w:style w:type="paragraph" w:customStyle="1" w:styleId="Titolo61">
    <w:name w:val="Titolo 61"/>
    <w:basedOn w:val="LO-normal"/>
    <w:next w:val="LO-normal"/>
    <w:qFormat/>
    <w:rsid w:val="008236A0"/>
    <w:pPr>
      <w:keepNext/>
      <w:keepLines/>
      <w:spacing w:before="200" w:after="40"/>
    </w:pPr>
    <w:rPr>
      <w:b/>
    </w:rPr>
  </w:style>
  <w:style w:type="paragraph" w:customStyle="1" w:styleId="Didascalia1">
    <w:name w:val="Didascalia1"/>
    <w:basedOn w:val="Normale"/>
    <w:qFormat/>
    <w:rsid w:val="008236A0"/>
    <w:pPr>
      <w:suppressLineNumbers/>
      <w:spacing w:before="120" w:after="120"/>
    </w:pPr>
    <w:rPr>
      <w:i/>
      <w:iCs/>
    </w:rPr>
  </w:style>
  <w:style w:type="paragraph" w:customStyle="1" w:styleId="LO-normal">
    <w:name w:val="LO-normal"/>
    <w:qFormat/>
    <w:rsid w:val="008236A0"/>
    <w:rPr>
      <w:sz w:val="24"/>
    </w:rPr>
  </w:style>
  <w:style w:type="paragraph" w:customStyle="1" w:styleId="Titolo1">
    <w:name w:val="Titolo1"/>
    <w:basedOn w:val="Normale"/>
    <w:next w:val="Corpotesto1"/>
    <w:qFormat/>
    <w:rsid w:val="008236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qFormat/>
    <w:rsid w:val="008236A0"/>
    <w:pPr>
      <w:spacing w:after="140" w:line="288" w:lineRule="auto"/>
    </w:pPr>
  </w:style>
  <w:style w:type="paragraph" w:customStyle="1" w:styleId="Testopreformattato">
    <w:name w:val="Testo preformattato"/>
    <w:basedOn w:val="Normale"/>
    <w:qFormat/>
    <w:rsid w:val="008236A0"/>
    <w:rPr>
      <w:rFonts w:ascii="Liberation Mono" w:hAnsi="Liberation Mono" w:cs="Liberation Mono"/>
      <w:sz w:val="20"/>
      <w:szCs w:val="20"/>
    </w:rPr>
  </w:style>
  <w:style w:type="paragraph" w:customStyle="1" w:styleId="Default">
    <w:name w:val="Default"/>
    <w:qFormat/>
    <w:rsid w:val="008236A0"/>
    <w:pPr>
      <w:spacing w:line="1" w:lineRule="atLeast"/>
      <w:textAlignment w:val="top"/>
      <w:outlineLvl w:val="0"/>
    </w:pPr>
    <w:rPr>
      <w:rFonts w:ascii="Trebuchet MS" w:eastAsia="Batang" w:hAnsi="Trebuchet MS" w:cs="Trebuchet MS"/>
      <w:color w:val="000000"/>
      <w:sz w:val="24"/>
      <w:szCs w:val="24"/>
      <w:lang w:eastAsia="ko-KR" w:bidi="ar-SA"/>
    </w:rPr>
  </w:style>
  <w:style w:type="paragraph" w:styleId="Sottotitolo">
    <w:name w:val="Subtitle"/>
    <w:basedOn w:val="LO-normal"/>
    <w:next w:val="LO-normal"/>
    <w:qFormat/>
    <w:rsid w:val="008236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  <w:rsid w:val="008236A0"/>
  </w:style>
  <w:style w:type="paragraph" w:customStyle="1" w:styleId="Intestazione1">
    <w:name w:val="Intestazione1"/>
    <w:basedOn w:val="Intestazioneepidipagina"/>
    <w:qFormat/>
    <w:rsid w:val="008236A0"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72A6E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e"/>
    <w:qFormat/>
    <w:rsid w:val="00772A6E"/>
    <w:pPr>
      <w:spacing w:beforeAutospacing="1" w:after="142" w:line="276" w:lineRule="auto"/>
      <w:textAlignment w:val="auto"/>
    </w:pPr>
    <w:rPr>
      <w:rFonts w:eastAsia="Times New Roman" w:cs="Times New Roman"/>
      <w:color w:val="000000"/>
      <w:lang w:eastAsia="it-IT"/>
    </w:rPr>
  </w:style>
  <w:style w:type="paragraph" w:customStyle="1" w:styleId="Header">
    <w:name w:val="Header"/>
    <w:basedOn w:val="Normale"/>
    <w:link w:val="IntestazioneCarattere"/>
    <w:uiPriority w:val="99"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paragraph" w:styleId="NormaleWeb">
    <w:name w:val="Normal (Web)"/>
    <w:basedOn w:val="Normale"/>
    <w:uiPriority w:val="99"/>
    <w:unhideWhenUsed/>
    <w:qFormat/>
    <w:rsid w:val="00C82C04"/>
    <w:pPr>
      <w:spacing w:beforeAutospacing="1" w:after="142" w:line="276" w:lineRule="auto"/>
      <w:textAlignment w:val="auto"/>
    </w:pPr>
    <w:rPr>
      <w:rFonts w:eastAsia="Times New Roman" w:cs="Times New Roman"/>
      <w:color w:val="000000"/>
      <w:lang w:eastAsia="it-IT"/>
    </w:rPr>
  </w:style>
  <w:style w:type="table" w:customStyle="1" w:styleId="TableNormal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6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gu3PdicKKXAVk0zctnrDNEOzEMA==">AMUW2mVIIWbw4LBDSzIdTw/zgPawOeSrvy67BKlhB5g6l5YJ5iZ/5ft/haA8mz9YGGeXkhokfoOtClSEgTUBATI8r4oLfPjUTNwbRt5buNKO5u0VFMjzxQ9+Qk0h9MCXO9U2GOWamdO3fXY6jwRrBd5upaL4ziPuqD+dvAwuN0j3k57XGjSH8Lk=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2B7DF79-9772-49D9-9089-38D72729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862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balestrazzi rita</dc:creator>
  <cp:lastModifiedBy>fvaccari</cp:lastModifiedBy>
  <cp:revision>4</cp:revision>
  <dcterms:created xsi:type="dcterms:W3CDTF">2023-12-05T07:25:00Z</dcterms:created>
  <dcterms:modified xsi:type="dcterms:W3CDTF">2023-12-18T07:35:00Z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