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rFonts w:ascii="Calibri" w:hAnsi="Calibri" w:eastAsia="Calibri" w:cs="Calibri"/>
          <w:b/>
          <w:b/>
          <w:bCs/>
        </w:rPr>
      </w:pPr>
      <w:r>
        <w:rPr>
          <w:rFonts w:eastAsia="Tahoma" w:cs="Tahoma" w:ascii="Tahoma" w:hAnsi="Tahoma"/>
          <w:b/>
          <w:bCs/>
          <w:sz w:val="22"/>
          <w:szCs w:val="22"/>
        </w:rPr>
        <w:t>OGGETTO:</w:t>
        <w:tab/>
        <w:t xml:space="preserve">Procedura per l’affidamento dei servizi assicurativi a favore dell’Unione dei </w:t>
      </w:r>
      <w:bookmarkStart w:id="0" w:name="_Hlk10022853"/>
      <w:r>
        <w:rPr>
          <w:rFonts w:eastAsia="Tahoma" w:cs="Tahoma" w:ascii="Tahoma" w:hAnsi="Tahoma"/>
          <w:b/>
          <w:bCs/>
          <w:sz w:val="22"/>
          <w:szCs w:val="22"/>
        </w:rPr>
        <w:t>Comuni Valli del Reno, Lavino e Samoggia</w:t>
      </w:r>
      <w:bookmarkEnd w:id="0"/>
      <w:r>
        <w:rPr>
          <w:rFonts w:eastAsia="Tahoma" w:cs="Tahoma" w:ascii="Tahoma" w:hAnsi="Tahoma"/>
          <w:b/>
          <w:bCs/>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pPr>
      <w:r>
        <w:rPr>
          <w:rFonts w:eastAsia="Calibri" w:cs="Calibri"/>
          <w:b/>
          <w:sz w:val="24"/>
        </w:rPr>
        <w:t>LOTTO 1) ALL RISKS</w:t>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Il sottoscritto ………………………………………………… in qualità di …………………………………………………………… della Compagnia ………………………………….. e quindi in nome e per conto della Società offerente, nonché delle eventuali Società coassicuratrici, dichiara: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i/>
          <w:i/>
          <w:u w:val="single"/>
        </w:rPr>
      </w:pPr>
      <w:r>
        <w:rPr>
          <w:rFonts w:eastAsia="Calibri" w:cs="Calibri"/>
          <w:i/>
          <w:u w:val="single"/>
        </w:rPr>
        <w:t>(barrare la casella corrispondente)</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integralmente il capitolato tecnico, pertanto senza accettare alcuna variante migliorativa;</w:t>
      </w:r>
    </w:p>
    <w:p>
      <w:pPr>
        <w:pStyle w:val="Normal"/>
        <w:spacing w:lineRule="auto" w:line="240" w:before="0" w:after="0"/>
        <w:jc w:val="both"/>
        <w:rPr>
          <w:rFonts w:ascii="Calibri" w:hAnsi="Calibri" w:eastAsia="Calibri" w:cs="Calibri"/>
          <w:i/>
          <w:i/>
        </w:rPr>
      </w:pPr>
      <w:r>
        <w:rPr>
          <w:rFonts w:eastAsia="Calibri" w:cs="Calibri"/>
          <w:i/>
        </w:rPr>
        <w:t>in alternativa</w:t>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la/e seguente/ variante/i migliorativa/e alle condizioni del capitolato tecnico. E’ richiesto di barrare la casella prescelta per ogni tipologia di variante:</w:t>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1)</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Durata dell’Assicurazione – Recesso annuale</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da parte della Compagnia alla facoltà di recesso annuale della polizza. PUNTI +3</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b/>
          <w:b/>
        </w:rPr>
      </w:pPr>
      <w:r>
        <w:rPr>
          <w:rFonts w:eastAsia="Calibri" w:cs="Calibri"/>
          <w:b/>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2"/>
        <w:gridCol w:w="6103"/>
      </w:tblGrid>
      <w:tr>
        <w:trPr>
          <w:trHeight w:val="1" w:hRule="atLeast"/>
        </w:trPr>
        <w:tc>
          <w:tcPr>
            <w:tcW w:w="3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2)</w:t>
            </w:r>
          </w:p>
        </w:tc>
      </w:tr>
      <w:tr>
        <w:trPr>
          <w:trHeight w:val="1" w:hRule="atLeast"/>
        </w:trPr>
        <w:tc>
          <w:tcPr>
            <w:tcW w:w="3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Recesso per sinistro</w:t>
            </w:r>
          </w:p>
        </w:tc>
      </w:tr>
      <w:tr>
        <w:trPr>
          <w:trHeight w:val="1" w:hRule="atLeast"/>
        </w:trPr>
        <w:tc>
          <w:tcPr>
            <w:tcW w:w="3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da parte della Compagnia alla facoltà di recesso per sinistro. PUNTI +3</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3)</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b/>
              </w:rPr>
              <w:t>Tabella [LSF] “Franchigia per ogni sinistro salvo quanto diversamente indicato nella Tabella” Riduzione</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cs="Arial"/>
              </w:rPr>
              <w:t xml:space="preserve">Unione da 500,00 ad € 250,00 e da € 2.500,00 ad € 1.000,00 per i restanti Enti - </w:t>
            </w:r>
            <w:r>
              <w:rPr>
                <w:rFonts w:eastAsia="Calibri" w:cs="Calibri"/>
              </w:rPr>
              <w:t>PUNTI+ 8;</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cs="Arial"/>
              </w:rPr>
              <w:t>Unione da 500,00 ad € 250,00 e da € € 2.500,00 ad € 1.500,00 per i restanti Enti</w:t>
            </w:r>
            <w:r>
              <w:rPr>
                <w:rFonts w:eastAsia="Calibri" w:cs="Calibri"/>
              </w:rPr>
              <w:t xml:space="preserve"> PUNTI+ 4;</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cs="Arial"/>
              </w:rPr>
              <w:t>Unione da 500,00 ad € 250,00 e da € € 2.500,00 ad € 2.000,00 per i restanti Enti</w:t>
            </w:r>
            <w:r>
              <w:rPr>
                <w:rFonts w:eastAsia="Calibri" w:cs="Calibri"/>
              </w:rPr>
              <w:t xml:space="preserve"> PUNTI+ 2;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4)</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eastAsia="Calibri" w:cs="Calibri"/>
                <w:b/>
              </w:rPr>
              <w:t>Tabella [LSF]</w:t>
            </w:r>
            <w:r>
              <w:rPr>
                <w:rFonts w:eastAsia="Calibri" w:cs="Calibri"/>
              </w:rPr>
              <w:t xml:space="preserve"> </w:t>
            </w:r>
            <w:r>
              <w:rPr>
                <w:rFonts w:eastAsia="Calibri" w:cs="Calibri"/>
                <w:b/>
              </w:rPr>
              <w:t>Terremoto: Fermo lo Scoperto 10% con il minimo di € 25.000 per sinistro.</w:t>
            </w:r>
            <w:r>
              <w:rPr>
                <w:rFonts w:eastAsia="Calibri" w:cs="Calibri"/>
              </w:rPr>
              <w:t xml:space="preserve"> </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cs="Arial"/>
                <w:sz w:val="22"/>
                <w:szCs w:val="22"/>
                <w:u w:val="single"/>
              </w:rPr>
            </w:pPr>
            <w:r>
              <w:rPr>
                <w:rFonts w:cs="Arial" w:ascii="Calibri" w:hAnsi="Calibri"/>
                <w:sz w:val="22"/>
                <w:szCs w:val="22"/>
                <w:u w:val="single"/>
              </w:rPr>
              <w:t>A VALERE PER TUTTI GLI ENTI:</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€ 100.000,00. PUNTI +8</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€ 150.000,00. PUNTI +4</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€ 250.000,00. PUNTI +2</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r>
        <w:br w:type="page"/>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5)</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b/>
                <w:b/>
              </w:rPr>
            </w:pPr>
            <w:r>
              <w:rPr>
                <w:rFonts w:eastAsia="Calibri" w:cs="Calibri"/>
                <w:b/>
              </w:rPr>
              <w:t xml:space="preserve">Tabella [LSF] Terremoto: Limite di indennizzo. </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 xml:space="preserve">UNIONE: l’aumento da € 1.500.000,00 ad € 3.000.000,00 per sinistro e per periodo di assicurazione </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ALTRI ENTI: l’aumento da € 5.000.000,00 ad € 7.000.000,00 per sinistro e per periodo di assicurazione</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r>
          </w:p>
          <w:p>
            <w:pPr>
              <w:pStyle w:val="Normal"/>
              <w:spacing w:lineRule="auto" w:line="240" w:before="0" w:after="0"/>
              <w:jc w:val="both"/>
              <w:rPr>
                <w:rFonts w:ascii="Calibri" w:hAnsi="Calibri" w:eastAsia="Calibri" w:cs="Calibri"/>
              </w:rPr>
            </w:pPr>
            <w:r>
              <w:rPr>
                <w:rFonts w:eastAsia="Calibri" w:cs="Calibri"/>
              </w:rPr>
              <w:t>PUNTI +8</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6)</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b/>
                <w:b/>
              </w:rPr>
            </w:pPr>
            <w:r>
              <w:rPr>
                <w:rFonts w:eastAsia="Calibri" w:cs="Calibri"/>
                <w:b/>
              </w:rPr>
              <w:t xml:space="preserve">Tabella [LSF] Alluvioni, Inondazioni: Fermo lo Scoperto 10% con il minimo di € 25.000 per sinistro. </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cs="Arial"/>
                <w:sz w:val="22"/>
                <w:szCs w:val="22"/>
                <w:u w:val="single"/>
              </w:rPr>
            </w:pPr>
            <w:r>
              <w:rPr>
                <w:rFonts w:cs="Arial" w:ascii="Calibri" w:hAnsi="Calibri"/>
                <w:sz w:val="22"/>
                <w:szCs w:val="22"/>
                <w:u w:val="single"/>
              </w:rPr>
              <w:t>A VALERE PER TUTTI GLI ENTI:</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€ 100.000,00. PUNTI +8</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€ 150.000,00. PUNTI +4</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inserimento di un massimo non indennizzabile di € 250.000,00. PUNTI +2</w:t>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7)</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b/>
                <w:b/>
              </w:rPr>
            </w:pPr>
            <w:r>
              <w:rPr>
                <w:rFonts w:eastAsia="Calibri" w:cs="Calibri"/>
                <w:b/>
              </w:rPr>
              <w:t xml:space="preserve">Tabella [LSF] Alluvioni, Inondazioni: Limite di indennizzo. </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 xml:space="preserve">UNIONE: l’aumento da € 1.500.000,00 ad € 3.000.000,00 per sinistro e per periodo di assicurazione </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ALTRI ENTI: l’aumento da € 5.000.000,00 ad € 7.000.000,00 per sinistro e per periodo di assicurazione</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r>
          </w:p>
          <w:p>
            <w:pPr>
              <w:pStyle w:val="Normal"/>
              <w:spacing w:lineRule="auto" w:line="240" w:before="0" w:after="0"/>
              <w:jc w:val="both"/>
              <w:rPr>
                <w:rFonts w:ascii="Calibri" w:hAnsi="Calibri" w:eastAsia="Calibri" w:cs="Calibri"/>
              </w:rPr>
            </w:pPr>
            <w:r>
              <w:rPr>
                <w:rFonts w:eastAsia="Calibri" w:cs="Calibri"/>
              </w:rPr>
              <w:t>PUNTI +8</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8)</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eastAsia="Calibri" w:cs="Calibri"/>
                <w:b/>
              </w:rPr>
              <w:t>Tabella [LSF]</w:t>
            </w:r>
            <w:r>
              <w:rPr>
                <w:rFonts w:eastAsia="Calibri" w:cs="Calibri"/>
              </w:rPr>
              <w:t xml:space="preserve"> </w:t>
            </w:r>
            <w:r>
              <w:rPr>
                <w:rFonts w:cs="Courier New"/>
                <w:b/>
                <w:lang w:eastAsia="ar-SA"/>
              </w:rPr>
              <w:t>Limiti d’indennizzo per periodo di assicurazione (se non diversamente specificato)</w:t>
            </w:r>
          </w:p>
          <w:p>
            <w:pPr>
              <w:pStyle w:val="Normal"/>
              <w:spacing w:lineRule="auto" w:line="240" w:before="40" w:after="40"/>
              <w:jc w:val="both"/>
              <w:rPr>
                <w:rFonts w:ascii="Calibri" w:hAnsi="Calibri" w:eastAsia="Calibri" w:cs="Calibri"/>
              </w:rPr>
            </w:pPr>
            <w:r>
              <w:rPr>
                <w:rFonts w:eastAsia="Calibri" w:cs="Calibri"/>
              </w:rPr>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BodyTextIndent2"/>
              <w:spacing w:lineRule="auto" w:line="240" w:before="0" w:after="0"/>
              <w:ind w:left="0" w:hanging="0"/>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Limite di indennizzo: </w:t>
            </w:r>
          </w:p>
          <w:p>
            <w:pPr>
              <w:pStyle w:val="BodyTextIndent2"/>
              <w:spacing w:lineRule="auto" w:line="240" w:before="0" w:after="0"/>
              <w:ind w:left="0" w:hanging="0"/>
              <w:jc w:val="both"/>
              <w:rPr>
                <w:rFonts w:ascii="Calibri" w:hAnsi="Calibri" w:cs="Arial" w:asciiTheme="minorHAnsi" w:hAnsiTheme="minorHAnsi"/>
                <w:sz w:val="22"/>
                <w:szCs w:val="22"/>
              </w:rPr>
            </w:pPr>
            <w:r>
              <w:rPr>
                <w:rFonts w:cs="Arial" w:ascii="Calibri" w:hAnsi="Calibri" w:asciiTheme="minorHAnsi" w:hAnsiTheme="minorHAnsi"/>
                <w:sz w:val="22"/>
                <w:szCs w:val="22"/>
              </w:rPr>
              <w:t xml:space="preserve">UNIONE: l’aumento da € 3.000.000,00 ad € 5.000.000,00 per sinistro e per periodo di assicurazione </w:t>
            </w:r>
          </w:p>
          <w:p>
            <w:pPr>
              <w:pStyle w:val="BodyTextIndent2"/>
              <w:spacing w:lineRule="auto" w:line="240" w:before="0" w:after="0"/>
              <w:ind w:left="0" w:hanging="0"/>
              <w:jc w:val="both"/>
              <w:rPr>
                <w:rFonts w:ascii="Calibri" w:hAnsi="Calibri" w:cs="Arial" w:asciiTheme="minorHAnsi" w:hAnsiTheme="minorHAnsi"/>
                <w:sz w:val="22"/>
                <w:szCs w:val="22"/>
              </w:rPr>
            </w:pPr>
            <w:r>
              <w:rPr>
                <w:rFonts w:cs="Arial" w:ascii="Calibri" w:hAnsi="Calibri" w:asciiTheme="minorHAnsi" w:hAnsiTheme="minorHAnsi"/>
                <w:sz w:val="22"/>
                <w:szCs w:val="22"/>
              </w:rPr>
              <w:t>ALTRI ENTI: l’aumento da € 70.000.000,00 ad € 100.000.000,00 per sinistro e per periodo di assicurazione</w:t>
            </w:r>
          </w:p>
          <w:p>
            <w:pPr>
              <w:pStyle w:val="Normal"/>
              <w:spacing w:lineRule="auto" w:line="240" w:before="0" w:after="0"/>
              <w:jc w:val="both"/>
              <w:rPr>
                <w:rFonts w:ascii="Calibri" w:hAnsi="Calibri" w:eastAsia="Calibri" w:cs="Calibri"/>
              </w:rPr>
            </w:pPr>
            <w:r>
              <w:rPr>
                <w:rFonts w:eastAsia="Calibri" w:cs="Calibri"/>
              </w:rPr>
              <w:t>PUNTI +8</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9)</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cs="Arial"/>
                <w:b/>
              </w:rPr>
              <w:t>Art. 39) Claims Preparation Fee</w:t>
            </w:r>
          </w:p>
          <w:p>
            <w:pPr>
              <w:pStyle w:val="Normal"/>
              <w:spacing w:lineRule="auto" w:line="240" w:before="40" w:after="40"/>
              <w:jc w:val="both"/>
              <w:rPr>
                <w:rFonts w:ascii="Calibri" w:hAnsi="Calibri" w:eastAsia="Calibri" w:cs="Calibri"/>
              </w:rPr>
            </w:pPr>
            <w:r>
              <w:rPr>
                <w:rFonts w:eastAsia="Calibri" w:cs="Calibri"/>
              </w:rPr>
              <w:t>Inserimento articolo e relativo sottolimite</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A VALERE PER TUTTI GLI ENTI</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L’inserimento dell’Art.39 “Claims Preparation fee” come riportato in capitolato, fino alla concorrenza di € 40.000,00 per sinistro come indicato nella tabella [LSF]</w:t>
            </w:r>
            <w:r>
              <w:rPr>
                <w:rFonts w:cs="Arial" w:ascii="Calibri" w:hAnsi="Calibri"/>
                <w:iCs/>
                <w:sz w:val="22"/>
                <w:szCs w:val="22"/>
              </w:rPr>
              <w:t xml:space="preserve"> </w:t>
            </w:r>
          </w:p>
          <w:p>
            <w:pPr>
              <w:pStyle w:val="Normal"/>
              <w:spacing w:lineRule="auto" w:line="240" w:before="0" w:after="0"/>
              <w:jc w:val="both"/>
              <w:rPr>
                <w:rFonts w:ascii="Calibri" w:hAnsi="Calibri" w:eastAsia="Calibri" w:cs="Calibri"/>
              </w:rPr>
            </w:pPr>
            <w:r>
              <w:rPr>
                <w:rFonts w:eastAsia="Calibri" w:cs="Calibri"/>
              </w:rPr>
              <w:t>PUNTI +8</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3641"/>
        <w:gridCol w:w="6104"/>
      </w:tblGrid>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10)</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40" w:after="40"/>
              <w:jc w:val="both"/>
              <w:rPr>
                <w:rFonts w:ascii="Calibri" w:hAnsi="Calibri" w:eastAsia="Calibri" w:cs="Calibri"/>
              </w:rPr>
            </w:pPr>
            <w:r>
              <w:rPr>
                <w:rFonts w:cs="Arial"/>
                <w:b/>
              </w:rPr>
              <w:t>Tabella [LSF] “</w:t>
            </w:r>
            <w:r>
              <w:rPr>
                <w:rFonts w:cs="Arial"/>
                <w:b/>
                <w:u w:val="single"/>
              </w:rPr>
              <w:t>Garanzie Furto, Rapina, Estorsione, Scippo –</w:t>
            </w:r>
            <w:r>
              <w:rPr>
                <w:rFonts w:cs="Arial"/>
                <w:b/>
              </w:rPr>
              <w:t xml:space="preserve"> </w:t>
            </w:r>
            <w:r>
              <w:rPr>
                <w:rFonts w:cs="Arial"/>
                <w:b/>
                <w:u w:val="single"/>
              </w:rPr>
              <w:t>e altri sottolimiti</w:t>
            </w:r>
            <w:r>
              <w:rPr>
                <w:rFonts w:cs="Arial"/>
                <w:b/>
              </w:rPr>
              <w:t>”</w:t>
            </w:r>
          </w:p>
        </w:tc>
      </w:tr>
      <w:tr>
        <w:trPr>
          <w:trHeight w:val="1" w:hRule="atLeast"/>
        </w:trPr>
        <w:tc>
          <w:tcPr>
            <w:tcW w:w="3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6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cs="Arial"/>
                <w:sz w:val="22"/>
                <w:szCs w:val="22"/>
              </w:rPr>
            </w:pPr>
            <w:bookmarkStart w:id="1" w:name="_Hlk14707490"/>
            <w:r>
              <w:rPr>
                <w:rFonts w:cs="Arial" w:ascii="Calibri" w:hAnsi="Calibri"/>
                <w:sz w:val="22"/>
                <w:szCs w:val="22"/>
              </w:rPr>
              <w:t>La riduzione -per tutti gli Enti - della franchigia per sinistro, a valere sia per la garanzia “Furto, Rapina, Estorsione, Scippo” e per “Tutti i Sottolimiti”</w:t>
            </w:r>
            <w:bookmarkEnd w:id="1"/>
            <w:r>
              <w:rPr>
                <w:rFonts w:cs="Arial" w:ascii="Calibri" w:hAnsi="Calibri"/>
                <w:sz w:val="22"/>
                <w:szCs w:val="22"/>
              </w:rPr>
              <w:t>:</w:t>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r>
          </w:p>
          <w:p>
            <w:pPr>
              <w:pStyle w:val="BodyTextIndent2"/>
              <w:spacing w:lineRule="auto" w:line="240" w:before="0" w:after="0"/>
              <w:ind w:left="0" w:hanging="0"/>
              <w:jc w:val="both"/>
              <w:rPr>
                <w:rFonts w:ascii="Calibri" w:hAnsi="Calibri" w:eastAsia="Calibri" w:cs="Calibri"/>
              </w:rPr>
            </w:pPr>
            <w:r>
              <w:rPr>
                <w:rFonts w:cs="Arial" w:ascii="Calibri" w:hAnsi="Calibri"/>
                <w:sz w:val="22"/>
                <w:szCs w:val="22"/>
              </w:rPr>
              <w:t xml:space="preserve">del 50% - </w:t>
            </w:r>
            <w:r>
              <w:rPr>
                <w:rFonts w:eastAsia="Calibri" w:cs="Calibri" w:ascii="Calibri" w:hAnsi="Calibri"/>
              </w:rPr>
              <w:t xml:space="preserve">PUNTI +8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BodyTextIndent2"/>
              <w:spacing w:lineRule="auto" w:line="240" w:before="0" w:after="0"/>
              <w:ind w:left="0" w:hanging="0"/>
              <w:jc w:val="both"/>
              <w:rPr>
                <w:rFonts w:ascii="Calibri" w:hAnsi="Calibri" w:eastAsia="Calibri" w:cs="Calibri"/>
              </w:rPr>
            </w:pPr>
            <w:r>
              <w:rPr>
                <w:rFonts w:cs="Arial" w:ascii="Calibri" w:hAnsi="Calibri"/>
                <w:sz w:val="22"/>
                <w:szCs w:val="22"/>
              </w:rPr>
              <w:t xml:space="preserve">del 25%  - </w:t>
            </w:r>
            <w:r>
              <w:rPr>
                <w:rFonts w:eastAsia="Calibri" w:cs="Calibri" w:ascii="Calibri" w:hAnsi="Calibri"/>
              </w:rPr>
              <w:t>PUNTI +4</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bookmarkStart w:id="2" w:name="_GoBack"/>
      <w:bookmarkStart w:id="3" w:name="_GoBack"/>
      <w:bookmarkEnd w:id="3"/>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rPr>
          <w:rFonts w:ascii="Calibri" w:hAnsi="Calibri" w:eastAsia="Calibri" w:cs="Calibri"/>
        </w:rPr>
      </w:pPr>
      <w:r>
        <w:rPr>
          <w:rFonts w:eastAsia="Calibri" w:cs="Calibri"/>
        </w:rPr>
      </w:r>
    </w:p>
    <w:tbl>
      <w:tblPr>
        <w:tblW w:w="9577" w:type="dxa"/>
        <w:jc w:val="left"/>
        <w:tblInd w:w="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99" w:type="dxa"/>
          <w:bottom w:w="0" w:type="dxa"/>
          <w:right w:w="108" w:type="dxa"/>
        </w:tblCellMar>
        <w:tblLook w:firstRow="0" w:noVBand="0" w:lastRow="0" w:firstColumn="0" w:lastColumn="0" w:noHBand="0" w:val="0000"/>
      </w:tblPr>
      <w:tblGrid>
        <w:gridCol w:w="3888"/>
        <w:gridCol w:w="1260"/>
        <w:gridCol w:w="4429"/>
      </w:tblGrid>
      <w:tr>
        <w:trPr>
          <w:trHeight w:val="1" w:hRule="atLeast"/>
        </w:trPr>
        <w:tc>
          <w:tcPr>
            <w:tcW w:w="38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t>Data……………………………………</w:t>
            </w:r>
          </w:p>
        </w:tc>
        <w:tc>
          <w:tcPr>
            <w:tcW w:w="12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r>
          </w:p>
        </w:tc>
        <w:tc>
          <w:tcPr>
            <w:tcW w:w="44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tabs>
                <w:tab w:val="left" w:pos="360" w:leader="none"/>
              </w:tabs>
              <w:spacing w:lineRule="auto" w:line="240" w:before="0" w:after="0"/>
              <w:jc w:val="center"/>
              <w:rPr>
                <w:rFonts w:ascii="Calibri" w:hAnsi="Calibri" w:eastAsia="Calibri" w:cs="Calibri"/>
              </w:rPr>
            </w:pPr>
            <w:r>
              <w:rPr>
                <w:rFonts w:eastAsia="Calibri" w:cs="Calibri"/>
              </w:rPr>
              <w:t>Firma…………………………………</w:t>
            </w:r>
          </w:p>
        </w:tc>
      </w:tr>
    </w:tbl>
    <w:p>
      <w:pPr>
        <w:pStyle w:val="Normal"/>
        <w:tabs>
          <w:tab w:val="left" w:pos="360" w:leader="none"/>
        </w:tabs>
        <w:spacing w:lineRule="auto" w:line="240" w:before="0" w:after="0"/>
        <w:jc w:val="center"/>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 xml:space="preserve">Firmare digitalmente ovvero olografa allegando documento in corso di validità </w:t>
      </w:r>
      <w:r>
        <w:rPr>
          <w:rFonts w:eastAsia="Tahoma" w:cs="Tahoma" w:ascii="Tahoma" w:hAnsi="Tahoma"/>
          <w:sz w:val="16"/>
          <w:szCs w:val="16"/>
        </w:rPr>
        <w:t>come indicato nel disciplinare di gara</w:t>
      </w:r>
    </w:p>
    <w:p>
      <w:pPr>
        <w:pStyle w:val="Normal"/>
        <w:spacing w:lineRule="auto" w:line="240" w:before="0" w:after="0"/>
        <w:jc w:val="both"/>
        <w:rPr>
          <w:rFonts w:eastAsia="Calibri" w:cs="Calibri"/>
          <w:i/>
          <w:i/>
        </w:rPr>
      </w:pPr>
      <w:r>
        <w:rPr>
          <w:rFonts w:eastAsia="Tahoma" w:cs="Tahoma" w:ascii="Tahoma" w:hAnsi="Tahoma"/>
          <w:i/>
          <w:sz w:val="16"/>
          <w:szCs w:val="16"/>
        </w:rPr>
        <w:t xml:space="preserve">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w:t>
      </w:r>
      <w:r>
        <w:rPr>
          <w:rFonts w:eastAsia="Tahoma" w:cs="Tahoma" w:ascii="Tahoma" w:hAnsi="Tahoma"/>
          <w:i/>
          <w:sz w:val="16"/>
          <w:szCs w:val="16"/>
        </w:rPr>
        <w:t>DIGITALMENTE ovvero</w:t>
      </w:r>
      <w:r>
        <w:rPr>
          <w:rFonts w:eastAsia="Tahoma" w:cs="Tahoma" w:ascii="Tahoma" w:hAnsi="Tahoma"/>
          <w:i/>
          <w:sz w:val="16"/>
          <w:szCs w:val="16"/>
        </w:rPr>
        <w:t xml:space="preserve"> allegando copia fotostatica di documento di riconoscimento del dichiarante e, nel caso di sottoscrizione da parte di un procuratore, della copia fotostatica della procura.</w:t>
      </w:r>
    </w:p>
    <w:p>
      <w:pPr>
        <w:pStyle w:val="Normal"/>
        <w:spacing w:lineRule="auto" w:line="240" w:before="0" w:after="0"/>
        <w:rPr/>
      </w:pPr>
      <w:r>
        <w:rPr/>
      </w:r>
    </w:p>
    <w:sectPr>
      <w:headerReference w:type="default" r:id="rId2"/>
      <w:type w:val="nextPage"/>
      <w:pgSz w:w="11906" w:h="16838"/>
      <w:pgMar w:left="1134" w:right="1134" w:header="1417" w:top="1969"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0" w:after="0"/>
      <w:ind w:left="0" w:right="0" w:hanging="0"/>
      <w:jc w:val="both"/>
      <w:rPr/>
    </w:pPr>
    <w:r>
      <w:rPr>
        <w:rFonts w:cs="Arial"/>
        <w:b w:val="false"/>
        <w:bCs w:val="false"/>
        <w:sz w:val="22"/>
        <w:szCs w:val="22"/>
      </w:rPr>
      <w:t>SCHEDA DI OFFERTA TECNICA ALLEGATO 1 – LOTTO N. 1 ALL RISKS</w:t>
    </w:r>
  </w:p>
</w:hd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Rientrocorpodeltesto2Carattere" w:customStyle="1">
    <w:name w:val="Rientro corpo del testo 2 Carattere"/>
    <w:basedOn w:val="DefaultParagraphFont"/>
    <w:link w:val="Rientrocorpodeltesto2"/>
    <w:qFormat/>
    <w:rsid w:val="004d2b3e"/>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Carpredefinitoparagrafo2">
    <w:name w:val="Car. predefinito paragrafo2"/>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BodyTextIndent2">
    <w:name w:val="Body Text Indent 2"/>
    <w:basedOn w:val="Normal"/>
    <w:link w:val="Rientrocorpodeltesto2Carattere"/>
    <w:qFormat/>
    <w:rsid w:val="004d2b3e"/>
    <w:pPr>
      <w:spacing w:lineRule="auto" w:line="480" w:before="0" w:after="120"/>
      <w:ind w:left="283" w:hanging="0"/>
    </w:pPr>
    <w:rPr>
      <w:rFonts w:ascii="Times New Roman" w:hAnsi="Times New Roman" w:eastAsia="Times New Roman" w:cs="Times New Roman"/>
      <w:sz w:val="24"/>
      <w:szCs w:val="24"/>
    </w:rPr>
  </w:style>
  <w:style w:type="paragraph" w:styleId="Intestazione">
    <w:name w:val="Header"/>
    <w:basedOn w:val="Normal"/>
    <w:pPr>
      <w:suppressLineNumbers/>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LibreOffice/6.0.5.2$Windows_X86_64 LibreOffice_project/54c8cbb85f300ac59db32fe8a675ff7683cd5a16</Application>
  <Pages>5</Pages>
  <Words>919</Words>
  <Characters>4978</Characters>
  <CharactersWithSpaces>6469</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2019-07-22T09:59:00Z</dcterms:created>
  <dc:creator>Aon Spa</dc:creator>
  <dc:description/>
  <dc:language>it-IT</dc:language>
  <cp:lastModifiedBy/>
  <dcterms:modified xsi:type="dcterms:W3CDTF">2019-08-19T16:41:33Z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